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60"/>
        <w:jc w:val="center"/>
      </w:pPr>
      <w:r>
        <w:rPr>
          <w:rFonts w:ascii="Microsoft YaHei" w:hAnsi="Microsoft YaHei" w:eastAsia="Microsoft YaHei" w:cs="Microsoft YaHei"/>
          <w:b/>
          <w:color w:val="1F4D78"/>
          <w:sz w:val="40"/>
        </w:rPr>
        <w:t>WebErp 安全漏洞自查工作自证材料</w:t>
      </w:r>
    </w:p>
    <w:p>
      <w:pPr>
        <w:spacing w:after="100" w:line="269" w:lineRule="auto"/>
      </w:pPr>
      <w:r>
        <w:rPr>
          <w:rFonts w:ascii="Microsoft YaHei" w:hAnsi="Microsoft YaHei" w:eastAsia="Microsoft YaHei" w:cs="Microsoft YaHei"/>
          <w:color w:val="1F2937"/>
          <w:sz w:val="19"/>
        </w:rPr>
        <w:t>报告日期：2026-06-25</w:t>
      </w:r>
    </w:p>
    <w:p>
      <w:pPr>
        <w:spacing w:after="100" w:line="269" w:lineRule="auto"/>
      </w:pPr>
      <w:r>
        <w:rPr>
          <w:rFonts w:ascii="Microsoft YaHei" w:hAnsi="Microsoft YaHei" w:eastAsia="Microsoft YaHei" w:cs="Microsoft YaHei"/>
          <w:color w:val="1F2937"/>
          <w:sz w:val="19"/>
        </w:rPr>
        <w:t>报告类型：企业安全漏洞定期自查与风险规避自证材料</w:t>
      </w:r>
    </w:p>
    <w:p>
      <w:pPr>
        <w:spacing w:after="100" w:line="269" w:lineRule="auto"/>
      </w:pPr>
      <w:r>
        <w:rPr>
          <w:rFonts w:ascii="Microsoft YaHei" w:hAnsi="Microsoft YaHei" w:eastAsia="Microsoft YaHei" w:cs="Microsoft YaHei"/>
          <w:color w:val="1F2937"/>
          <w:sz w:val="19"/>
        </w:rPr>
        <w:t>适用范围：WebErp / weberp Spring Boot 后端项目</w:t>
      </w:r>
    </w:p>
    <w:p>
      <w:pPr>
        <w:spacing w:after="100" w:line="269" w:lineRule="auto"/>
      </w:pPr>
      <w:r>
        <w:rPr>
          <w:rFonts w:ascii="Microsoft YaHei" w:hAnsi="Microsoft YaHei" w:eastAsia="Microsoft YaHei" w:cs="Microsoft YaHei"/>
          <w:color w:val="1F2937"/>
          <w:sz w:val="19"/>
        </w:rPr>
        <w:t>报告口径：对外自证，展示已开展的安全自查、已建设的风险规避措施、风险识别记录与后续处置安排。</w:t>
      </w:r>
    </w:p>
    <w:p>
      <w:pPr>
        <w:pStyle w:val="Heading2"/>
        <w:spacing w:before="240" w:after="100"/>
      </w:pPr>
      <w:r>
        <w:rPr>
          <w:rFonts w:ascii="Microsoft YaHei" w:hAnsi="Microsoft YaHei" w:eastAsia="Microsoft YaHei" w:cs="Microsoft YaHei"/>
          <w:b/>
          <w:color w:val="2E74B5"/>
          <w:sz w:val="28"/>
        </w:rPr>
        <w:t>1. 项目概况与扫描范围</w:t>
      </w:r>
    </w:p>
    <w:p>
      <w:pPr>
        <w:spacing w:after="100" w:line="269" w:lineRule="auto"/>
      </w:pPr>
      <w:r>
        <w:rPr>
          <w:rFonts w:ascii="Microsoft YaHei" w:hAnsi="Microsoft YaHei" w:eastAsia="Microsoft YaHei" w:cs="Microsoft YaHei"/>
          <w:color w:val="1F2937"/>
          <w:sz w:val="19"/>
        </w:rPr>
        <w:t xml:space="preserve">本次自查对象为 WebErp 后端工程，核心模块为 </w:t>
      </w:r>
      <w:r>
        <w:rPr>
          <w:rFonts w:ascii="Consolas" w:hAnsi="Consolas" w:eastAsia="Consolas" w:cs="Consolas"/>
          <w:color w:val="7A3E00"/>
          <w:sz w:val="17"/>
        </w:rPr>
        <w:t>WebErp/weberp</w:t>
      </w:r>
      <w:r>
        <w:rPr>
          <w:rFonts w:ascii="Microsoft YaHei" w:hAnsi="Microsoft YaHei" w:eastAsia="Microsoft YaHei" w:cs="Microsoft YaHei"/>
          <w:color w:val="1F2937"/>
          <w:sz w:val="19"/>
        </w:rPr>
        <w:t>。项目采用 Spring Boot、Maven、多数据库驱动、MyBatis、文件处理、Office 文档转换、远程资源下载、JWT 登录态、GraalJS 表达式执行等能力。</w:t>
      </w:r>
    </w:p>
    <w:p>
      <w:pPr>
        <w:spacing w:after="100" w:line="269" w:lineRule="auto"/>
      </w:pPr>
      <w:r>
        <w:rPr>
          <w:rFonts w:ascii="Microsoft YaHei" w:hAnsi="Microsoft YaHei" w:eastAsia="Microsoft YaHei" w:cs="Microsoft YaHei"/>
          <w:color w:val="1F2937"/>
          <w:sz w:val="19"/>
        </w:rPr>
        <w:t>本次自查覆盖以下范围：</w:t>
      </w:r>
    </w:p>
    <w:p>
      <w:pPr>
        <w:spacing w:after="20" w:before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8C7D9"/>
          <w:left w:val="single" w:sz="4" w:space="0" w:color="B8C7D9"/>
          <w:bottom w:val="single" w:sz="4" w:space="0" w:color="B8C7D9"/>
          <w:right w:val="single" w:sz="4" w:space="0" w:color="B8C7D9"/>
          <w:insideH w:val="single" w:sz="4" w:space="0" w:color="B8C7D9"/>
          <w:insideV w:val="single" w:sz="4" w:space="0" w:color="B8C7D9"/>
        </w:tblBorders>
        <w:tblCellMar>
          <w:top w:w="80" w:type="dxa"/>
          <w:start w:w="100" w:type="dxa"/>
          <w:bottom w:w="80" w:type="dxa"/>
          <w:end w:w="100" w:type="dxa"/>
        </w:tblCellMar>
      </w:tblPr>
      <w:tblGrid>
        <w:gridCol w:w="5103"/>
        <w:gridCol w:w="5103"/>
        <w:gridCol w:w="5103"/>
      </w:tblGrid>
      <w:tr>
        <w:trPr>
          <w:tblHeader w:val="true"/>
        </w:trPr>
        <w:tc>
          <w:tcPr>
            <w:tcW w:type="dxa" w:w="2304"/>
            <w:shd w:fill="E8EEF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/>
                <w:color w:val="1F4D78"/>
                <w:sz w:val="16"/>
              </w:rPr>
              <w:t>类别</w:t>
            </w:r>
          </w:p>
        </w:tc>
        <w:tc>
          <w:tcPr>
            <w:tcW w:type="dxa" w:w="4608"/>
            <w:shd w:fill="E8EEF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/>
                <w:color w:val="1F4D78"/>
                <w:sz w:val="16"/>
              </w:rPr>
              <w:t>覆盖内容</w:t>
            </w:r>
          </w:p>
        </w:tc>
        <w:tc>
          <w:tcPr>
            <w:tcW w:type="dxa" w:w="7632"/>
            <w:shd w:fill="E8EEF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/>
                <w:color w:val="1F4D78"/>
                <w:sz w:val="16"/>
              </w:rPr>
              <w:t>证据来源</w:t>
            </w:r>
          </w:p>
        </w:tc>
      </w:tr>
      <w:tr>
        <w:tc>
          <w:tcPr>
            <w:tcW w:type="dxa" w:w="2304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依赖与构建</w:t>
            </w:r>
          </w:p>
        </w:tc>
        <w:tc>
          <w:tcPr>
            <w:tcW w:type="dxa" w:w="4608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Maven 父子 POM、依赖树、关键第三方组件版本</w:t>
            </w:r>
          </w:p>
        </w:tc>
        <w:tc>
          <w:tcPr>
            <w:tcW w:type="dxa" w:w="7632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WebErp/pom.xml、WebErp/weberp/pom.xml、weberp/target/dependency-tree.txt</w:t>
            </w:r>
          </w:p>
        </w:tc>
      </w:tr>
      <w:tr>
        <w:tc>
          <w:tcPr>
            <w:tcW w:type="dxa" w:w="2304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配置安全</w:t>
            </w:r>
          </w:p>
        </w:tc>
        <w:tc>
          <w:tcPr>
            <w:tcW w:type="dxa" w:w="4608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数据库连接、运行配置、跨域配置、脚本执行开关</w:t>
            </w:r>
          </w:p>
        </w:tc>
        <w:tc>
          <w:tcPr>
            <w:tcW w:type="dxa" w:w="7632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application.properties、CorsConfig.java、JsEngine.java</w:t>
            </w:r>
          </w:p>
        </w:tc>
      </w:tr>
      <w:tr>
        <w:tc>
          <w:tcPr>
            <w:tcW w:type="dxa" w:w="2304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认证授权</w:t>
            </w:r>
          </w:p>
        </w:tc>
        <w:tc>
          <w:tcPr>
            <w:tcW w:type="dxa" w:w="4608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Spring Security 入口放行、业务层登录校验、公开接口白名单</w:t>
            </w:r>
          </w:p>
        </w:tc>
        <w:tc>
          <w:tcPr>
            <w:tcW w:type="dxa" w:w="7632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SecurityConfig.java、BaseHandler.java、PublicApiRegistry.java</w:t>
            </w:r>
          </w:p>
        </w:tc>
      </w:tr>
      <w:tr>
        <w:tc>
          <w:tcPr>
            <w:tcW w:type="dxa" w:w="2304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SQL 安全</w:t>
            </w:r>
          </w:p>
        </w:tc>
        <w:tc>
          <w:tcPr>
            <w:tcW w:type="dxa" w:w="4608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MyBatis 动态 SQL、SQL 片段校验、字段名白名单</w:t>
            </w:r>
          </w:p>
        </w:tc>
        <w:tc>
          <w:tcPr>
            <w:tcW w:type="dxa" w:w="7632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mapper/*.xml、SqlSafetyGuard.java、SQL Provider 实现</w:t>
            </w:r>
          </w:p>
        </w:tc>
      </w:tr>
      <w:tr>
        <w:tc>
          <w:tcPr>
            <w:tcW w:type="dxa" w:w="2304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文件与下载</w:t>
            </w:r>
          </w:p>
        </w:tc>
        <w:tc>
          <w:tcPr>
            <w:tcW w:type="dxa" w:w="4608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文件路径校验、压缩包解压、远程下载、在线预览</w:t>
            </w:r>
          </w:p>
        </w:tc>
        <w:tc>
          <w:tcPr>
            <w:tcW w:type="dxa" w:w="7632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FileUtil.java、ZipUtil.java、RemoteDownloadGuard.java、ToolsHandler.java</w:t>
            </w:r>
          </w:p>
        </w:tc>
      </w:tr>
      <w:tr>
        <w:tc>
          <w:tcPr>
            <w:tcW w:type="dxa" w:w="2304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脚本与命令</w:t>
            </w:r>
          </w:p>
        </w:tc>
        <w:tc>
          <w:tcPr>
            <w:tcW w:type="dxa" w:w="4608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GraalJS 沙箱配置、系统命令执行点复核</w:t>
            </w:r>
          </w:p>
        </w:tc>
        <w:tc>
          <w:tcPr>
            <w:tcW w:type="dxa" w:w="7632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JsEngine.java、OfficeUtil.java、FormatFactoryUtil.java</w:t>
            </w:r>
          </w:p>
        </w:tc>
      </w:tr>
      <w:tr>
        <w:tc>
          <w:tcPr>
            <w:tcW w:type="dxa" w:w="2304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自动化证据</w:t>
            </w:r>
          </w:p>
        </w:tc>
        <w:tc>
          <w:tcPr>
            <w:tcW w:type="dxa" w:w="4608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安全回归测试、依赖树生成、工具可用性确认</w:t>
            </w:r>
          </w:p>
        </w:tc>
        <w:tc>
          <w:tcPr>
            <w:tcW w:type="dxa" w:w="7632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SecurityRegressionTest.java、Maven 命令执行记录</w:t>
            </w:r>
          </w:p>
        </w:tc>
      </w:tr>
    </w:tbl>
    <w:p>
      <w:pPr>
        <w:spacing w:after="80"/>
      </w:pPr>
    </w:p>
    <w:p>
      <w:pPr>
        <w:spacing w:after="100" w:line="269" w:lineRule="auto"/>
      </w:pPr>
      <w:r>
        <w:rPr>
          <w:rFonts w:ascii="Microsoft YaHei" w:hAnsi="Microsoft YaHei" w:eastAsia="Microsoft YaHei" w:cs="Microsoft YaHei"/>
          <w:color w:val="1F2937"/>
          <w:sz w:val="19"/>
        </w:rPr>
        <w:t>说明：本报告为安全漏洞自查工作留档材料，不等同于第三方渗透测试报告或等保测评报告。</w:t>
      </w:r>
    </w:p>
    <w:p>
      <w:pPr>
        <w:pStyle w:val="Heading2"/>
        <w:spacing w:before="240" w:after="100"/>
      </w:pPr>
      <w:r>
        <w:rPr>
          <w:rFonts w:ascii="Microsoft YaHei" w:hAnsi="Microsoft YaHei" w:eastAsia="Microsoft YaHei" w:cs="Microsoft YaHei"/>
          <w:b/>
          <w:color w:val="2E74B5"/>
          <w:sz w:val="28"/>
        </w:rPr>
        <w:t>2. 自查方法与证据来源</w:t>
      </w:r>
    </w:p>
    <w:p>
      <w:pPr>
        <w:spacing w:after="100" w:line="269" w:lineRule="auto"/>
      </w:pPr>
      <w:r>
        <w:rPr>
          <w:rFonts w:ascii="Microsoft YaHei" w:hAnsi="Microsoft YaHei" w:eastAsia="Microsoft YaHei" w:cs="Microsoft YaHei"/>
          <w:color w:val="1F2937"/>
          <w:sz w:val="19"/>
        </w:rPr>
        <w:t>本次自查采用静态代码扫描、配置审阅、依赖版本核验、关键安全控制点测试和公开漏洞库查询相结合的方式。</w:t>
      </w:r>
    </w:p>
    <w:p>
      <w:pPr>
        <w:spacing w:after="100" w:line="269" w:lineRule="auto"/>
      </w:pPr>
      <w:r>
        <w:rPr>
          <w:rFonts w:ascii="Microsoft YaHei" w:hAnsi="Microsoft YaHei" w:eastAsia="Microsoft YaHei" w:cs="Microsoft YaHei"/>
          <w:color w:val="1F2937"/>
          <w:sz w:val="19"/>
        </w:rPr>
        <w:t>已执行并形成证据的检查项：</w:t>
      </w:r>
    </w:p>
    <w:p>
      <w:pPr>
        <w:spacing w:after="20" w:before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8C7D9"/>
          <w:left w:val="single" w:sz="4" w:space="0" w:color="B8C7D9"/>
          <w:bottom w:val="single" w:sz="4" w:space="0" w:color="B8C7D9"/>
          <w:right w:val="single" w:sz="4" w:space="0" w:color="B8C7D9"/>
          <w:insideH w:val="single" w:sz="4" w:space="0" w:color="B8C7D9"/>
          <w:insideV w:val="single" w:sz="4" w:space="0" w:color="B8C7D9"/>
        </w:tblBorders>
        <w:tblCellMar>
          <w:top w:w="80" w:type="dxa"/>
          <w:start w:w="100" w:type="dxa"/>
          <w:bottom w:w="80" w:type="dxa"/>
          <w:end w:w="100" w:type="dxa"/>
        </w:tblCellMar>
      </w:tblPr>
      <w:tblGrid>
        <w:gridCol w:w="5103"/>
        <w:gridCol w:w="5103"/>
        <w:gridCol w:w="5103"/>
      </w:tblGrid>
      <w:tr>
        <w:trPr>
          <w:tblHeader w:val="true"/>
        </w:trPr>
        <w:tc>
          <w:tcPr>
            <w:tcW w:type="dxa" w:w="2304"/>
            <w:shd w:fill="E8EEF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/>
                <w:color w:val="1F4D78"/>
                <w:sz w:val="16"/>
              </w:rPr>
              <w:t>检查项</w:t>
            </w:r>
          </w:p>
        </w:tc>
        <w:tc>
          <w:tcPr>
            <w:tcW w:type="dxa" w:w="4608"/>
            <w:shd w:fill="E8EEF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/>
                <w:color w:val="1F4D78"/>
                <w:sz w:val="16"/>
              </w:rPr>
              <w:t>方法</w:t>
            </w:r>
          </w:p>
        </w:tc>
        <w:tc>
          <w:tcPr>
            <w:tcW w:type="dxa" w:w="7632"/>
            <w:shd w:fill="E8EEF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/>
                <w:color w:val="1F4D78"/>
                <w:sz w:val="16"/>
              </w:rPr>
              <w:t>结果</w:t>
            </w:r>
          </w:p>
        </w:tc>
      </w:tr>
      <w:tr>
        <w:tc>
          <w:tcPr>
            <w:tcW w:type="dxa" w:w="2304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安全回归测试</w:t>
            </w:r>
          </w:p>
        </w:tc>
        <w:tc>
          <w:tcPr>
            <w:tcW w:type="dxa" w:w="4608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执行 mvn -q -Dtest=SecurityRegressionTest test</w:t>
            </w:r>
          </w:p>
        </w:tc>
        <w:tc>
          <w:tcPr>
            <w:tcW w:type="dxa" w:w="7632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通过，覆盖路径越权、Zip Slip、CORS、远程下载限制、SQL 片段校验、公开接口白名单等场景</w:t>
            </w:r>
          </w:p>
        </w:tc>
      </w:tr>
      <w:tr>
        <w:tc>
          <w:tcPr>
            <w:tcW w:type="dxa" w:w="2304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Maven 依赖树</w:t>
            </w:r>
          </w:p>
        </w:tc>
        <w:tc>
          <w:tcPr>
            <w:tcW w:type="dxa" w:w="4608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执行 Maven dependency tree 并输出到 weberp/target/dependency-tree.txt</w:t>
            </w:r>
          </w:p>
        </w:tc>
        <w:tc>
          <w:tcPr>
            <w:tcW w:type="dxa" w:w="7632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已生成，可用于依赖版本留档</w:t>
            </w:r>
          </w:p>
        </w:tc>
      </w:tr>
      <w:tr>
        <w:tc>
          <w:tcPr>
            <w:tcW w:type="dxa" w:w="2304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OSV 漏洞查询</w:t>
            </w:r>
          </w:p>
        </w:tc>
        <w:tc>
          <w:tcPr>
            <w:tcW w:type="dxa" w:w="4608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对关键 Maven 组件进行 OSV API 查询</w:t>
            </w:r>
          </w:p>
        </w:tc>
        <w:tc>
          <w:tcPr>
            <w:tcW w:type="dxa" w:w="7632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发现 Jackson databind 仍有一项新披露风险需跟踪</w:t>
            </w:r>
          </w:p>
        </w:tc>
      </w:tr>
      <w:tr>
        <w:tc>
          <w:tcPr>
            <w:tcW w:type="dxa" w:w="2304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工具环境确认</w:t>
            </w:r>
          </w:p>
        </w:tc>
        <w:tc>
          <w:tcPr>
            <w:tcW w:type="dxa" w:w="4608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检查本机 osv-scanner 与 dependency-check 命令</w:t>
            </w:r>
          </w:p>
        </w:tc>
        <w:tc>
          <w:tcPr>
            <w:tcW w:type="dxa" w:w="7632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当前环境未安装，已列入后续工具化改进</w:t>
            </w:r>
          </w:p>
        </w:tc>
      </w:tr>
      <w:tr>
        <w:tc>
          <w:tcPr>
            <w:tcW w:type="dxa" w:w="2304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敏感配置审阅</w:t>
            </w:r>
          </w:p>
        </w:tc>
        <w:tc>
          <w:tcPr>
            <w:tcW w:type="dxa" w:w="4608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扫描配置文件与安全相关关键字</w:t>
            </w:r>
          </w:p>
        </w:tc>
        <w:tc>
          <w:tcPr>
            <w:tcW w:type="dxa" w:w="7632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发现数据库连接配置仍需脱敏入库治理，报告正文已脱敏展示</w:t>
            </w:r>
          </w:p>
        </w:tc>
      </w:tr>
    </w:tbl>
    <w:p>
      <w:pPr>
        <w:spacing w:after="80"/>
      </w:pPr>
    </w:p>
    <w:p>
      <w:pPr>
        <w:pStyle w:val="Heading2"/>
        <w:spacing w:before="240" w:after="100"/>
      </w:pPr>
      <w:r>
        <w:rPr>
          <w:rFonts w:ascii="Microsoft YaHei" w:hAnsi="Microsoft YaHei" w:eastAsia="Microsoft YaHei" w:cs="Microsoft YaHei"/>
          <w:b/>
          <w:color w:val="2E74B5"/>
          <w:sz w:val="28"/>
        </w:rPr>
        <w:t>3. 风险识别记录台账</w:t>
      </w:r>
    </w:p>
    <w:p>
      <w:pPr>
        <w:spacing w:after="20" w:before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8C7D9"/>
          <w:left w:val="single" w:sz="4" w:space="0" w:color="B8C7D9"/>
          <w:bottom w:val="single" w:sz="4" w:space="0" w:color="B8C7D9"/>
          <w:right w:val="single" w:sz="4" w:space="0" w:color="B8C7D9"/>
          <w:insideH w:val="single" w:sz="4" w:space="0" w:color="B8C7D9"/>
          <w:insideV w:val="single" w:sz="4" w:space="0" w:color="B8C7D9"/>
        </w:tblBorders>
        <w:tblCellMar>
          <w:top w:w="80" w:type="dxa"/>
          <w:start w:w="100" w:type="dxa"/>
          <w:bottom w:w="80" w:type="dxa"/>
          <w:end w:w="100" w:type="dxa"/>
        </w:tblCellMar>
      </w:tblPr>
      <w:tblGrid>
        <w:gridCol w:w="1701"/>
        <w:gridCol w:w="1701"/>
        <w:gridCol w:w="1701"/>
        <w:gridCol w:w="1701"/>
        <w:gridCol w:w="1701"/>
        <w:gridCol w:w="1701"/>
        <w:gridCol w:w="1701"/>
        <w:gridCol w:w="1701"/>
        <w:gridCol w:w="1701"/>
      </w:tblGrid>
      <w:tr>
        <w:trPr>
          <w:tblHeader w:val="true"/>
        </w:trPr>
        <w:tc>
          <w:tcPr>
            <w:tcW w:type="dxa" w:w="835"/>
            <w:shd w:fill="E8EEF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/>
                <w:color w:val="1F4D78"/>
                <w:sz w:val="16"/>
              </w:rPr>
              <w:t>编号</w:t>
            </w:r>
          </w:p>
        </w:tc>
        <w:tc>
          <w:tcPr>
            <w:tcW w:type="dxa" w:w="1512"/>
            <w:shd w:fill="E8EEF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/>
                <w:color w:val="1F4D78"/>
                <w:sz w:val="16"/>
              </w:rPr>
              <w:t>风险名称</w:t>
            </w:r>
          </w:p>
        </w:tc>
        <w:tc>
          <w:tcPr>
            <w:tcW w:type="dxa" w:w="2232"/>
            <w:shd w:fill="E8EEF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/>
                <w:color w:val="1F4D78"/>
                <w:sz w:val="16"/>
              </w:rPr>
              <w:t>位置</w:t>
            </w:r>
          </w:p>
        </w:tc>
        <w:tc>
          <w:tcPr>
            <w:tcW w:type="dxa" w:w="792"/>
            <w:shd w:fill="E8EEF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/>
                <w:color w:val="1F4D78"/>
                <w:sz w:val="16"/>
              </w:rPr>
              <w:t>等级</w:t>
            </w:r>
          </w:p>
        </w:tc>
        <w:tc>
          <w:tcPr>
            <w:tcW w:type="dxa" w:w="2232"/>
            <w:shd w:fill="E8EEF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/>
                <w:color w:val="1F4D78"/>
                <w:sz w:val="16"/>
              </w:rPr>
              <w:t>影响</w:t>
            </w:r>
          </w:p>
        </w:tc>
        <w:tc>
          <w:tcPr>
            <w:tcW w:type="dxa" w:w="2952"/>
            <w:shd w:fill="E8EEF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/>
                <w:color w:val="1F4D78"/>
                <w:sz w:val="16"/>
              </w:rPr>
              <w:t>现状证据</w:t>
            </w:r>
          </w:p>
        </w:tc>
        <w:tc>
          <w:tcPr>
            <w:tcW w:type="dxa" w:w="2232"/>
            <w:shd w:fill="E8EEF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/>
                <w:color w:val="1F4D78"/>
                <w:sz w:val="16"/>
              </w:rPr>
              <w:t>已有控制</w:t>
            </w:r>
          </w:p>
        </w:tc>
        <w:tc>
          <w:tcPr>
            <w:tcW w:type="dxa" w:w="3240"/>
            <w:shd w:fill="E8EEF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/>
                <w:color w:val="1F4D78"/>
                <w:sz w:val="16"/>
              </w:rPr>
              <w:t>处置方案</w:t>
            </w:r>
          </w:p>
        </w:tc>
        <w:tc>
          <w:tcPr>
            <w:tcW w:type="dxa" w:w="792"/>
            <w:shd w:fill="E8EEF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/>
                <w:color w:val="1F4D78"/>
                <w:sz w:val="16"/>
              </w:rPr>
              <w:t>优先级</w:t>
            </w:r>
          </w:p>
        </w:tc>
      </w:tr>
      <w:tr>
        <w:tc>
          <w:tcPr>
            <w:tcW w:type="dxa" w:w="83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R-001</w:t>
            </w:r>
          </w:p>
        </w:tc>
        <w:tc>
          <w:tcPr>
            <w:tcW w:type="dxa" w:w="1512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第三方依赖漏洞风险</w:t>
            </w:r>
          </w:p>
        </w:tc>
        <w:tc>
          <w:tcPr>
            <w:tcW w:type="dxa" w:w="2232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com.fasterxml.jackson.core:jackson-databind:2.18.8</w:t>
            </w:r>
          </w:p>
        </w:tc>
        <w:tc>
          <w:tcPr>
            <w:tcW w:type="dxa" w:w="792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高</w:t>
            </w:r>
          </w:p>
        </w:tc>
        <w:tc>
          <w:tcPr>
            <w:tcW w:type="dxa" w:w="2232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特定反序列化忽略属性绕过场景下，可能影响对象字段保护策略</w:t>
            </w:r>
          </w:p>
        </w:tc>
        <w:tc>
          <w:tcPr>
            <w:tcW w:type="dxa" w:w="2952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OSV 查询命中 GHSA-5jmj-h7xm-6q6v；OSV 标注修复版本为 2.18.9，但当前 Maven Central 未查询到该版本，本地 Maven 解析也失败</w:t>
            </w:r>
          </w:p>
        </w:tc>
        <w:tc>
          <w:tcPr>
            <w:tcW w:type="dxa" w:w="2232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Jackson 已从旧版本升级到当前可打包版本；父 POM 已统一版本管理，避免父子 POM 版本漂移</w:t>
            </w:r>
          </w:p>
        </w:tc>
        <w:tc>
          <w:tcPr>
            <w:tcW w:type="dxa" w:w="3240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持续跟踪可用修复版本；若 2.18.9 可解析则优先小版本升级；若不可用，则评估升级到后续可用安全版本并补跑兼容测试</w:t>
            </w:r>
          </w:p>
        </w:tc>
        <w:tc>
          <w:tcPr>
            <w:tcW w:type="dxa" w:w="792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P0</w:t>
            </w:r>
          </w:p>
        </w:tc>
      </w:tr>
      <w:tr>
        <w:tc>
          <w:tcPr>
            <w:tcW w:type="dxa" w:w="835"/>
            <w:shd w:fill="F6F8FA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R-002</w:t>
            </w:r>
          </w:p>
        </w:tc>
        <w:tc>
          <w:tcPr>
            <w:tcW w:type="dxa" w:w="1512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配置文件中存在真实数据库连接信息</w:t>
            </w:r>
          </w:p>
        </w:tc>
        <w:tc>
          <w:tcPr>
            <w:tcW w:type="dxa" w:w="2232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weberp/src/main/resources/application.properties 第 12 行附近</w:t>
            </w:r>
          </w:p>
        </w:tc>
        <w:tc>
          <w:tcPr>
            <w:tcW w:type="dxa" w:w="792"/>
            <w:shd w:fill="F6F8FA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高</w:t>
            </w:r>
          </w:p>
        </w:tc>
        <w:tc>
          <w:tcPr>
            <w:tcW w:type="dxa" w:w="2232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若配置文件被外发或提交到共享仓库，可能导致数据库访问凭证泄露</w:t>
            </w:r>
          </w:p>
        </w:tc>
        <w:tc>
          <w:tcPr>
            <w:tcW w:type="dxa" w:w="2952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配置文件中仍有真实数据库连接串；本报告仅记录脱敏形态：jdbc:dm://*:/?凭证=*</w:t>
            </w:r>
          </w:p>
        </w:tc>
        <w:tc>
          <w:tcPr>
            <w:tcW w:type="dxa" w:w="2232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已约定生产真实配置应放在部署服务器本地；报告中不展示真实地址、账号或密码</w:t>
            </w:r>
          </w:p>
        </w:tc>
        <w:tc>
          <w:tcPr>
            <w:tcW w:type="dxa" w:w="3240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立即轮换已暴露凭证；将仓库配置改为示例值；补充 .gitignore 排除本地与生产真实配置文件；对历史提交和制品进行泄露排查</w:t>
            </w:r>
          </w:p>
        </w:tc>
        <w:tc>
          <w:tcPr>
            <w:tcW w:type="dxa" w:w="792"/>
            <w:shd w:fill="F6F8FA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P0</w:t>
            </w:r>
          </w:p>
        </w:tc>
      </w:tr>
      <w:tr>
        <w:tc>
          <w:tcPr>
            <w:tcW w:type="dxa" w:w="83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R-003</w:t>
            </w:r>
          </w:p>
        </w:tc>
        <w:tc>
          <w:tcPr>
            <w:tcW w:type="dxa" w:w="1512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动态接口入口开放面较大</w:t>
            </w:r>
          </w:p>
        </w:tc>
        <w:tc>
          <w:tcPr>
            <w:tcW w:type="dxa" w:w="2232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SecurityConfig.java、BaseHandler.java、PublicApiRegistry.java</w:t>
            </w:r>
          </w:p>
        </w:tc>
        <w:tc>
          <w:tcPr>
            <w:tcW w:type="dxa" w:w="792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中</w:t>
            </w:r>
          </w:p>
        </w:tc>
        <w:tc>
          <w:tcPr>
            <w:tcW w:type="dxa" w:w="2232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若业务层校验缺失，可能导致未授权访问</w:t>
            </w:r>
          </w:p>
        </w:tc>
        <w:tc>
          <w:tcPr>
            <w:tcW w:type="dxa" w:w="2952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Spring Security 对动态 /Api/ 分发入口放行；业务层通过 @RequestCheck 和公开接口白名单进行控制</w:t>
            </w:r>
          </w:p>
        </w:tc>
        <w:tc>
          <w:tcPr>
            <w:tcW w:type="dxa" w:w="2232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BaseHandler 已引入 PublicApiRegistry，未列入白名单的 CheckLogin=false 方法会回落为需要登录；未匹配请求默认拒绝</w:t>
            </w:r>
          </w:p>
        </w:tc>
        <w:tc>
          <w:tcPr>
            <w:tcW w:type="dxa" w:w="3240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持续审计所有 CheckLogin=false 方法；新增公开接口必须进入白名单并经过安全复核；对模块数据、文件预览、下载接口默认保持登录态要求</w:t>
            </w:r>
          </w:p>
        </w:tc>
        <w:tc>
          <w:tcPr>
            <w:tcW w:type="dxa" w:w="792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P0</w:t>
            </w:r>
          </w:p>
        </w:tc>
      </w:tr>
      <w:tr>
        <w:tc>
          <w:tcPr>
            <w:tcW w:type="dxa" w:w="835"/>
            <w:shd w:fill="F6F8FA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R-004</w:t>
            </w:r>
          </w:p>
        </w:tc>
        <w:tc>
          <w:tcPr>
            <w:tcW w:type="dxa" w:w="1512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MyBatis 动态 SQL 拼接风险</w:t>
            </w:r>
          </w:p>
        </w:tc>
        <w:tc>
          <w:tcPr>
            <w:tcW w:type="dxa" w:w="2232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mapper/*.xml 中 ${...} 片段及 SQL Provider</w:t>
            </w:r>
          </w:p>
        </w:tc>
        <w:tc>
          <w:tcPr>
            <w:tcW w:type="dxa" w:w="792"/>
            <w:shd w:fill="F6F8FA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高</w:t>
            </w:r>
          </w:p>
        </w:tc>
        <w:tc>
          <w:tcPr>
            <w:tcW w:type="dxa" w:w="2232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若外部输入直接进入 SQL 片段，可能造成 SQL 注入或越权查询</w:t>
            </w:r>
          </w:p>
        </w:tc>
        <w:tc>
          <w:tcPr>
            <w:tcW w:type="dxa" w:w="2952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Mapper 文件中仍存在字段名、条件片段和完整 SQL 拼接点</w:t>
            </w:r>
          </w:p>
        </w:tc>
        <w:tc>
          <w:tcPr>
            <w:tcW w:type="dxa" w:w="2232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已新增 SqlSafetyGuard；部分入口已对字段名、只读查询和条件片段进行白名单或危险关键字拦截</w:t>
            </w:r>
          </w:p>
        </w:tc>
        <w:tc>
          <w:tcPr>
            <w:tcW w:type="dxa" w:w="3240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对所有 ${...} 来源建立清单；字段名改为服务端白名单；条件片段逐步参数化；无法立即改造的入口必须先接入 SqlSafetyGuard</w:t>
            </w:r>
          </w:p>
        </w:tc>
        <w:tc>
          <w:tcPr>
            <w:tcW w:type="dxa" w:w="792"/>
            <w:shd w:fill="F6F8FA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P0</w:t>
            </w:r>
          </w:p>
        </w:tc>
      </w:tr>
      <w:tr>
        <w:tc>
          <w:tcPr>
            <w:tcW w:type="dxa" w:w="83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R-005</w:t>
            </w:r>
          </w:p>
        </w:tc>
        <w:tc>
          <w:tcPr>
            <w:tcW w:type="dxa" w:w="1512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远程 URL 下载与服务端请求风险</w:t>
            </w:r>
          </w:p>
        </w:tc>
        <w:tc>
          <w:tcPr>
            <w:tcW w:type="dxa" w:w="2232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FileUtil.java、ToolsHandler.java、WebUtil.java、CreateWordUtil.java、DateTimeUtil.java</w:t>
            </w:r>
          </w:p>
        </w:tc>
        <w:tc>
          <w:tcPr>
            <w:tcW w:type="dxa" w:w="792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高</w:t>
            </w:r>
          </w:p>
        </w:tc>
        <w:tc>
          <w:tcPr>
            <w:tcW w:type="dxa" w:w="2232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若允许用户控制 URL，可能触发 SSRF、内网探测或下载超限</w:t>
            </w:r>
          </w:p>
        </w:tc>
        <w:tc>
          <w:tcPr>
            <w:tcW w:type="dxa" w:w="2952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RemoteDownloadGuard 已接入部分下载流程；仍存在多个 URL 请求入口需要继续统一治理</w:t>
            </w:r>
          </w:p>
        </w:tc>
        <w:tc>
          <w:tcPr>
            <w:tcW w:type="dxa" w:w="2232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RemoteDownloadGuard 限制协议、私有地址、链路本地地址、组播地址、重定向跳数和下载大小；配置项默认禁止私有地址</w:t>
            </w:r>
          </w:p>
        </w:tc>
        <w:tc>
          <w:tcPr>
            <w:tcW w:type="dxa" w:w="3240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将残留 URL 请求入口统一接入远程下载守卫；重定向每跳复核；对在线预览类接口补充域名白名单或登录态要求</w:t>
            </w:r>
          </w:p>
        </w:tc>
        <w:tc>
          <w:tcPr>
            <w:tcW w:type="dxa" w:w="792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P0</w:t>
            </w:r>
          </w:p>
        </w:tc>
      </w:tr>
      <w:tr>
        <w:tc>
          <w:tcPr>
            <w:tcW w:type="dxa" w:w="835"/>
            <w:shd w:fill="F6F8FA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R-006</w:t>
            </w:r>
          </w:p>
        </w:tc>
        <w:tc>
          <w:tcPr>
            <w:tcW w:type="dxa" w:w="1512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文件路径穿越与压缩包解压风险</w:t>
            </w:r>
          </w:p>
        </w:tc>
        <w:tc>
          <w:tcPr>
            <w:tcW w:type="dxa" w:w="2232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FileUtil.java、ZipUtil.java</w:t>
            </w:r>
          </w:p>
        </w:tc>
        <w:tc>
          <w:tcPr>
            <w:tcW w:type="dxa" w:w="792"/>
            <w:shd w:fill="F6F8FA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中</w:t>
            </w:r>
          </w:p>
        </w:tc>
        <w:tc>
          <w:tcPr>
            <w:tcW w:type="dxa" w:w="2232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文件读写或解压过程若未限制根目录，可能覆盖非授权路径</w:t>
            </w:r>
          </w:p>
        </w:tc>
        <w:tc>
          <w:tcPr>
            <w:tcW w:type="dxa" w:w="2952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已有路径规范化、根目录匹配和压缩条目路径校验；回归测试覆盖路径越权和 Zip Slip</w:t>
            </w:r>
          </w:p>
        </w:tc>
        <w:tc>
          <w:tcPr>
            <w:tcW w:type="dxa" w:w="2232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ZipUtil 对解压目标路径进行标准化并校验必须位于目标目录内；FileUtil 对文件虚拟路径和物理路径做规范化处理</w:t>
            </w:r>
          </w:p>
        </w:tc>
        <w:tc>
          <w:tcPr>
            <w:tcW w:type="dxa" w:w="3240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持续保留回归测试；新增文件读写入口必须复用路径校验；压缩包处理增加大小和条目数量限制作为后续优化</w:t>
            </w:r>
          </w:p>
        </w:tc>
        <w:tc>
          <w:tcPr>
            <w:tcW w:type="dxa" w:w="792"/>
            <w:shd w:fill="F6F8FA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P1</w:t>
            </w:r>
          </w:p>
        </w:tc>
      </w:tr>
      <w:tr>
        <w:tc>
          <w:tcPr>
            <w:tcW w:type="dxa" w:w="83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R-007</w:t>
            </w:r>
          </w:p>
        </w:tc>
        <w:tc>
          <w:tcPr>
            <w:tcW w:type="dxa" w:w="1512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GraalJS 脚本全访问风险</w:t>
            </w:r>
          </w:p>
        </w:tc>
        <w:tc>
          <w:tcPr>
            <w:tcW w:type="dxa" w:w="2232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JsEngine.java、application.properties</w:t>
            </w:r>
          </w:p>
        </w:tc>
        <w:tc>
          <w:tcPr>
            <w:tcW w:type="dxa" w:w="792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中</w:t>
            </w:r>
          </w:p>
        </w:tc>
        <w:tc>
          <w:tcPr>
            <w:tcW w:type="dxa" w:w="2232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若脚本全访问开启，表达式可能访问宿主环境能力</w:t>
            </w:r>
          </w:p>
        </w:tc>
        <w:tc>
          <w:tcPr>
            <w:tcW w:type="dxa" w:w="2952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app.js.allow-all-access=false 已配置；代码中仅在显式开启时允许全访问并输出告警</w:t>
            </w:r>
          </w:p>
        </w:tc>
        <w:tc>
          <w:tcPr>
            <w:tcW w:type="dxa" w:w="2232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默认关闭 GraalJS 全访问；表达式执行使用独立上下文和缓存容量限制</w:t>
            </w:r>
          </w:p>
        </w:tc>
        <w:tc>
          <w:tcPr>
            <w:tcW w:type="dxa" w:w="3240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保持默认关闭；若业务确需开启，必须形成变更审批、日志告警和最小权限说明；补充脚本危险语句测试</w:t>
            </w:r>
          </w:p>
        </w:tc>
        <w:tc>
          <w:tcPr>
            <w:tcW w:type="dxa" w:w="792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P1</w:t>
            </w:r>
          </w:p>
        </w:tc>
      </w:tr>
      <w:tr>
        <w:tc>
          <w:tcPr>
            <w:tcW w:type="dxa" w:w="835"/>
            <w:shd w:fill="F6F8FA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R-008</w:t>
            </w:r>
          </w:p>
        </w:tc>
        <w:tc>
          <w:tcPr>
            <w:tcW w:type="dxa" w:w="1512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系统命令执行点需持续复核</w:t>
            </w:r>
          </w:p>
        </w:tc>
        <w:tc>
          <w:tcPr>
            <w:tcW w:type="dxa" w:w="2232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OfficeUtil.java、FormatFactoryUtil.java</w:t>
            </w:r>
          </w:p>
        </w:tc>
        <w:tc>
          <w:tcPr>
            <w:tcW w:type="dxa" w:w="792"/>
            <w:shd w:fill="F6F8FA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中</w:t>
            </w:r>
          </w:p>
        </w:tc>
        <w:tc>
          <w:tcPr>
            <w:tcW w:type="dxa" w:w="2232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若命令路径或参数可被外部输入污染，可能造成命令执行风险</w:t>
            </w:r>
          </w:p>
        </w:tc>
        <w:tc>
          <w:tcPr>
            <w:tcW w:type="dxa" w:w="2952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代码中存在系统命令调用点，主要用于文件权限和格式转换</w:t>
            </w:r>
          </w:p>
        </w:tc>
        <w:tc>
          <w:tcPr>
            <w:tcW w:type="dxa" w:w="2232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已将该类入口列为重点复核项；目前未在本报告中确认存在可利用外部输入链</w:t>
            </w:r>
          </w:p>
        </w:tc>
        <w:tc>
          <w:tcPr>
            <w:tcW w:type="dxa" w:w="3240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对可执行文件路径、参数来源和工作目录进行白名单校验；禁止拼接 shell 字符串；记录命令执行审计日志</w:t>
            </w:r>
          </w:p>
        </w:tc>
        <w:tc>
          <w:tcPr>
            <w:tcW w:type="dxa" w:w="792"/>
            <w:shd w:fill="F6F8FA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P1</w:t>
            </w:r>
          </w:p>
        </w:tc>
      </w:tr>
      <w:tr>
        <w:tc>
          <w:tcPr>
            <w:tcW w:type="dxa" w:w="83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R-009</w:t>
            </w:r>
          </w:p>
        </w:tc>
        <w:tc>
          <w:tcPr>
            <w:tcW w:type="dxa" w:w="1512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CORS 白名单与响应头暴露需环境化治理</w:t>
            </w:r>
          </w:p>
        </w:tc>
        <w:tc>
          <w:tcPr>
            <w:tcW w:type="dxa" w:w="2232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CorsConfig.java</w:t>
            </w:r>
          </w:p>
        </w:tc>
        <w:tc>
          <w:tcPr>
            <w:tcW w:type="dxa" w:w="792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中</w:t>
            </w:r>
          </w:p>
        </w:tc>
        <w:tc>
          <w:tcPr>
            <w:tcW w:type="dxa" w:w="2232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若跨域源配置过宽，可能扩大凭证跨域风险</w:t>
            </w:r>
          </w:p>
        </w:tc>
        <w:tc>
          <w:tcPr>
            <w:tcW w:type="dxa" w:w="2952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CORS 已采用白名单并允许携带凭证；测试覆盖不暴露全部响应头和拒绝异常方法</w:t>
            </w:r>
          </w:p>
        </w:tc>
        <w:tc>
          <w:tcPr>
            <w:tcW w:type="dxa" w:w="2232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未使用通配源；限制请求方法；仅暴露必要响应头</w:t>
            </w:r>
          </w:p>
        </w:tc>
        <w:tc>
          <w:tcPr>
            <w:tcW w:type="dxa" w:w="3240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将不同环境的允许源迁移到配置项；生产环境定期审计白名单；下线临时调试源</w:t>
            </w:r>
          </w:p>
        </w:tc>
        <w:tc>
          <w:tcPr>
            <w:tcW w:type="dxa" w:w="792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P1</w:t>
            </w:r>
          </w:p>
        </w:tc>
      </w:tr>
      <w:tr>
        <w:tc>
          <w:tcPr>
            <w:tcW w:type="dxa" w:w="835"/>
            <w:shd w:fill="F6F8FA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R-010</w:t>
            </w:r>
          </w:p>
        </w:tc>
        <w:tc>
          <w:tcPr>
            <w:tcW w:type="dxa" w:w="1512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安全扫描工具链不完整</w:t>
            </w:r>
          </w:p>
        </w:tc>
        <w:tc>
          <w:tcPr>
            <w:tcW w:type="dxa" w:w="2232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本机工具环境</w:t>
            </w:r>
          </w:p>
        </w:tc>
        <w:tc>
          <w:tcPr>
            <w:tcW w:type="dxa" w:w="792"/>
            <w:shd w:fill="F6F8FA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低</w:t>
            </w:r>
          </w:p>
        </w:tc>
        <w:tc>
          <w:tcPr>
            <w:tcW w:type="dxa" w:w="2232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无法在本机直接运行标准化 OSV Scanner 或 OWASP Dependency-Check</w:t>
            </w:r>
          </w:p>
        </w:tc>
        <w:tc>
          <w:tcPr>
            <w:tcW w:type="dxa" w:w="2952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当前命令行未安装 osv-scanner 与 dependency-check</w:t>
            </w:r>
          </w:p>
        </w:tc>
        <w:tc>
          <w:tcPr>
            <w:tcW w:type="dxa" w:w="2232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已通过 OSV API 和 Maven 依赖树进行替代性核验</w:t>
            </w:r>
          </w:p>
        </w:tc>
        <w:tc>
          <w:tcPr>
            <w:tcW w:type="dxa" w:w="3240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在 CI 或发布机补齐依赖漏洞扫描工具；形成扫描报告归档；对高危漏洞建立阻断规则</w:t>
            </w:r>
          </w:p>
        </w:tc>
        <w:tc>
          <w:tcPr>
            <w:tcW w:type="dxa" w:w="792"/>
            <w:shd w:fill="F6F8FA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P2</w:t>
            </w:r>
          </w:p>
        </w:tc>
      </w:tr>
      <w:tr>
        <w:tc>
          <w:tcPr>
            <w:tcW w:type="dxa" w:w="83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R-011</w:t>
            </w:r>
          </w:p>
        </w:tc>
        <w:tc>
          <w:tcPr>
            <w:tcW w:type="dxa" w:w="1512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SQL 控制台日志与敏感信息日志风险</w:t>
            </w:r>
          </w:p>
        </w:tc>
        <w:tc>
          <w:tcPr>
            <w:tcW w:type="dxa" w:w="2232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application.properties、SQL 调试配置</w:t>
            </w:r>
          </w:p>
        </w:tc>
        <w:tc>
          <w:tcPr>
            <w:tcW w:type="dxa" w:w="792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中</w:t>
            </w:r>
          </w:p>
        </w:tc>
        <w:tc>
          <w:tcPr>
            <w:tcW w:type="dxa" w:w="2232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开启 SQL 输出时，可能在日志中暴露业务字段、查询条件或敏感参数</w:t>
            </w:r>
          </w:p>
        </w:tc>
        <w:tc>
          <w:tcPr>
            <w:tcW w:type="dxa" w:w="2952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配置中存在 MyBatis 控制台日志相关项，当前仍需按环境复核</w:t>
            </w:r>
          </w:p>
        </w:tc>
        <w:tc>
          <w:tcPr>
            <w:tcW w:type="dxa" w:w="2232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部分日志级别已关闭；安全回归测试覆盖部分响应头与令牌场景</w:t>
            </w:r>
          </w:p>
        </w:tc>
        <w:tc>
          <w:tcPr>
            <w:tcW w:type="dxa" w:w="3240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生产环境关闭 SQL 明文输出；日志脱敏账号、手机号、凭证和令牌；建立日志留存与访问控制</w:t>
            </w:r>
          </w:p>
        </w:tc>
        <w:tc>
          <w:tcPr>
            <w:tcW w:type="dxa" w:w="792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4"/>
              </w:rPr>
              <w:t>P1</w:t>
            </w:r>
          </w:p>
        </w:tc>
      </w:tr>
    </w:tbl>
    <w:p>
      <w:pPr>
        <w:spacing w:after="80"/>
      </w:pPr>
    </w:p>
    <w:p>
      <w:pPr>
        <w:pStyle w:val="Heading2"/>
        <w:spacing w:before="240" w:after="100"/>
      </w:pPr>
      <w:r>
        <w:rPr>
          <w:rFonts w:ascii="Microsoft YaHei" w:hAnsi="Microsoft YaHei" w:eastAsia="Microsoft YaHei" w:cs="Microsoft YaHei"/>
          <w:b/>
          <w:color w:val="2E74B5"/>
          <w:sz w:val="28"/>
        </w:rPr>
        <w:t>4. 已有安全控制与风险规避措施</w:t>
      </w:r>
    </w:p>
    <w:p>
      <w:pPr>
        <w:spacing w:after="20" w:before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8C7D9"/>
          <w:left w:val="single" w:sz="4" w:space="0" w:color="B8C7D9"/>
          <w:bottom w:val="single" w:sz="4" w:space="0" w:color="B8C7D9"/>
          <w:right w:val="single" w:sz="4" w:space="0" w:color="B8C7D9"/>
          <w:insideH w:val="single" w:sz="4" w:space="0" w:color="B8C7D9"/>
          <w:insideV w:val="single" w:sz="4" w:space="0" w:color="B8C7D9"/>
        </w:tblBorders>
        <w:tblCellMar>
          <w:top w:w="80" w:type="dxa"/>
          <w:start w:w="100" w:type="dxa"/>
          <w:bottom w:w="80" w:type="dxa"/>
          <w:end w:w="100" w:type="dxa"/>
        </w:tblCellMar>
      </w:tblPr>
      <w:tblGrid>
        <w:gridCol w:w="5103"/>
        <w:gridCol w:w="5103"/>
        <w:gridCol w:w="5103"/>
      </w:tblGrid>
      <w:tr>
        <w:trPr>
          <w:tblHeader w:val="true"/>
        </w:trPr>
        <w:tc>
          <w:tcPr>
            <w:tcW w:type="dxa" w:w="2304"/>
            <w:shd w:fill="E8EEF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/>
                <w:color w:val="1F4D78"/>
                <w:sz w:val="16"/>
              </w:rPr>
              <w:t>控制领域</w:t>
            </w:r>
          </w:p>
        </w:tc>
        <w:tc>
          <w:tcPr>
            <w:tcW w:type="dxa" w:w="4608"/>
            <w:shd w:fill="E8EEF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/>
                <w:color w:val="1F4D78"/>
                <w:sz w:val="16"/>
              </w:rPr>
              <w:t>已有措施</w:t>
            </w:r>
          </w:p>
        </w:tc>
        <w:tc>
          <w:tcPr>
            <w:tcW w:type="dxa" w:w="7632"/>
            <w:shd w:fill="E8EEF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/>
                <w:color w:val="1F4D78"/>
                <w:sz w:val="16"/>
              </w:rPr>
              <w:t>自证说明</w:t>
            </w:r>
          </w:p>
        </w:tc>
      </w:tr>
      <w:tr>
        <w:tc>
          <w:tcPr>
            <w:tcW w:type="dxa" w:w="2304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依赖治理</w:t>
            </w:r>
          </w:p>
        </w:tc>
        <w:tc>
          <w:tcPr>
            <w:tcW w:type="dxa" w:w="4608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Maven 父 POM 统一管理关键组件版本；子模块保留真实业务依赖</w:t>
            </w:r>
          </w:p>
        </w:tc>
        <w:tc>
          <w:tcPr>
            <w:tcW w:type="dxa" w:w="7632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降低父子 POM 版本漂移和重复依赖风险，便于后续集中升级</w:t>
            </w:r>
          </w:p>
        </w:tc>
      </w:tr>
      <w:tr>
        <w:tc>
          <w:tcPr>
            <w:tcW w:type="dxa" w:w="2304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默认拒绝</w:t>
            </w:r>
          </w:p>
        </w:tc>
        <w:tc>
          <w:tcPr>
            <w:tcW w:type="dxa" w:w="4608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Spring Security 未匹配请求使用默认拒绝策略</w:t>
            </w:r>
          </w:p>
        </w:tc>
        <w:tc>
          <w:tcPr>
            <w:tcW w:type="dxa" w:w="7632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减少非预期接口暴露</w:t>
            </w:r>
          </w:p>
        </w:tc>
      </w:tr>
      <w:tr>
        <w:tc>
          <w:tcPr>
            <w:tcW w:type="dxa" w:w="2304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公开接口收敛</w:t>
            </w:r>
          </w:p>
        </w:tc>
        <w:tc>
          <w:tcPr>
            <w:tcW w:type="dxa" w:w="4608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PublicApiRegistry 集中维护公开方法</w:t>
            </w:r>
          </w:p>
        </w:tc>
        <w:tc>
          <w:tcPr>
            <w:tcW w:type="dxa" w:w="7632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登录、验证码、基础系统信息等接口可公开；模块业务数据类接口默认需登录</w:t>
            </w:r>
          </w:p>
        </w:tc>
      </w:tr>
      <w:tr>
        <w:tc>
          <w:tcPr>
            <w:tcW w:type="dxa" w:w="2304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登录态校验</w:t>
            </w:r>
          </w:p>
        </w:tc>
        <w:tc>
          <w:tcPr>
            <w:tcW w:type="dxa" w:w="4608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BaseHandler 基于 @RequestCheck 统一执行登录和参数校验</w:t>
            </w:r>
          </w:p>
        </w:tc>
        <w:tc>
          <w:tcPr>
            <w:tcW w:type="dxa" w:w="7632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对动态分发 API 提供统一拦截层</w:t>
            </w:r>
          </w:p>
        </w:tc>
      </w:tr>
      <w:tr>
        <w:tc>
          <w:tcPr>
            <w:tcW w:type="dxa" w:w="2304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SQL 防护</w:t>
            </w:r>
          </w:p>
        </w:tc>
        <w:tc>
          <w:tcPr>
            <w:tcW w:type="dxa" w:w="4608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SqlSafetyGuard 提供字段名、只读查询和条件片段校验</w:t>
            </w:r>
          </w:p>
        </w:tc>
        <w:tc>
          <w:tcPr>
            <w:tcW w:type="dxa" w:w="7632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对高风险动态 SQL 入口先建立拦截，再逐步参数化</w:t>
            </w:r>
          </w:p>
        </w:tc>
      </w:tr>
      <w:tr>
        <w:tc>
          <w:tcPr>
            <w:tcW w:type="dxa" w:w="2304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SSRF 防护</w:t>
            </w:r>
          </w:p>
        </w:tc>
        <w:tc>
          <w:tcPr>
            <w:tcW w:type="dxa" w:w="4608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RemoteDownloadGuard 限制协议、地址类型、重定向和下载大小</w:t>
            </w:r>
          </w:p>
        </w:tc>
        <w:tc>
          <w:tcPr>
            <w:tcW w:type="dxa" w:w="7632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对远程下载流程建立边界控制</w:t>
            </w:r>
          </w:p>
        </w:tc>
      </w:tr>
      <w:tr>
        <w:tc>
          <w:tcPr>
            <w:tcW w:type="dxa" w:w="2304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文件路径防护</w:t>
            </w:r>
          </w:p>
        </w:tc>
        <w:tc>
          <w:tcPr>
            <w:tcW w:type="dxa" w:w="4608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文件路径规范化、根目录校验、压缩包条目路径校验</w:t>
            </w:r>
          </w:p>
        </w:tc>
        <w:tc>
          <w:tcPr>
            <w:tcW w:type="dxa" w:w="7632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防止路径穿越和 Zip Slip</w:t>
            </w:r>
          </w:p>
        </w:tc>
      </w:tr>
      <w:tr>
        <w:tc>
          <w:tcPr>
            <w:tcW w:type="dxa" w:w="2304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CORS 控制</w:t>
            </w:r>
          </w:p>
        </w:tc>
        <w:tc>
          <w:tcPr>
            <w:tcW w:type="dxa" w:w="4608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采用具体源白名单，未使用任意源通配</w:t>
            </w:r>
          </w:p>
        </w:tc>
        <w:tc>
          <w:tcPr>
            <w:tcW w:type="dxa" w:w="7632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携带凭证场景下减少跨域滥用风险</w:t>
            </w:r>
          </w:p>
        </w:tc>
      </w:tr>
      <w:tr>
        <w:tc>
          <w:tcPr>
            <w:tcW w:type="dxa" w:w="2304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JS 沙箱</w:t>
            </w:r>
          </w:p>
        </w:tc>
        <w:tc>
          <w:tcPr>
            <w:tcW w:type="dxa" w:w="4608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GraalJS 全访问默认关闭</w:t>
            </w:r>
          </w:p>
        </w:tc>
        <w:tc>
          <w:tcPr>
            <w:tcW w:type="dxa" w:w="7632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降低表达式执行访问宿主能力的风险</w:t>
            </w:r>
          </w:p>
        </w:tc>
      </w:tr>
      <w:tr>
        <w:tc>
          <w:tcPr>
            <w:tcW w:type="dxa" w:w="2304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回归测试</w:t>
            </w:r>
          </w:p>
        </w:tc>
        <w:tc>
          <w:tcPr>
            <w:tcW w:type="dxa" w:w="4608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SecurityRegressionTest 覆盖多项安全控制</w:t>
            </w:r>
          </w:p>
        </w:tc>
        <w:tc>
          <w:tcPr>
            <w:tcW w:type="dxa" w:w="7632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形成可重复验证证据</w:t>
            </w:r>
          </w:p>
        </w:tc>
      </w:tr>
    </w:tbl>
    <w:p>
      <w:pPr>
        <w:spacing w:after="80"/>
      </w:pPr>
    </w:p>
    <w:p>
      <w:pPr>
        <w:pStyle w:val="Heading2"/>
        <w:spacing w:before="240" w:after="100"/>
      </w:pPr>
      <w:r>
        <w:rPr>
          <w:rFonts w:ascii="Microsoft YaHei" w:hAnsi="Microsoft YaHei" w:eastAsia="Microsoft YaHei" w:cs="Microsoft YaHei"/>
          <w:b/>
          <w:color w:val="2E74B5"/>
          <w:sz w:val="28"/>
        </w:rPr>
        <w:t>5. 风险处置方案与整改优先级</w:t>
      </w:r>
    </w:p>
    <w:p>
      <w:pPr>
        <w:spacing w:after="20" w:before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8C7D9"/>
          <w:left w:val="single" w:sz="4" w:space="0" w:color="B8C7D9"/>
          <w:bottom w:val="single" w:sz="4" w:space="0" w:color="B8C7D9"/>
          <w:right w:val="single" w:sz="4" w:space="0" w:color="B8C7D9"/>
          <w:insideH w:val="single" w:sz="4" w:space="0" w:color="B8C7D9"/>
          <w:insideV w:val="single" w:sz="4" w:space="0" w:color="B8C7D9"/>
        </w:tblBorders>
        <w:tblCellMar>
          <w:top w:w="80" w:type="dxa"/>
          <w:start w:w="100" w:type="dxa"/>
          <w:bottom w:w="80" w:type="dxa"/>
          <w:end w:w="100" w:type="dxa"/>
        </w:tblCellMar>
      </w:tblPr>
      <w:tblGrid>
        <w:gridCol w:w="5103"/>
        <w:gridCol w:w="5103"/>
        <w:gridCol w:w="5103"/>
      </w:tblGrid>
      <w:tr>
        <w:trPr>
          <w:tblHeader w:val="true"/>
        </w:trPr>
        <w:tc>
          <w:tcPr>
            <w:tcW w:type="dxa" w:w="2304"/>
            <w:shd w:fill="E8EEF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/>
                <w:color w:val="1F4D78"/>
                <w:sz w:val="16"/>
              </w:rPr>
              <w:t>优先级</w:t>
            </w:r>
          </w:p>
        </w:tc>
        <w:tc>
          <w:tcPr>
            <w:tcW w:type="dxa" w:w="4608"/>
            <w:shd w:fill="E8EEF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/>
                <w:color w:val="1F4D78"/>
                <w:sz w:val="16"/>
              </w:rPr>
              <w:t>处置事项</w:t>
            </w:r>
          </w:p>
        </w:tc>
        <w:tc>
          <w:tcPr>
            <w:tcW w:type="dxa" w:w="7632"/>
            <w:shd w:fill="E8EEF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/>
                <w:color w:val="1F4D78"/>
                <w:sz w:val="16"/>
              </w:rPr>
              <w:t>目标完成标准</w:t>
            </w:r>
          </w:p>
        </w:tc>
      </w:tr>
      <w:tr>
        <w:tc>
          <w:tcPr>
            <w:tcW w:type="dxa" w:w="2304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P0</w:t>
            </w:r>
          </w:p>
        </w:tc>
        <w:tc>
          <w:tcPr>
            <w:tcW w:type="dxa" w:w="4608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轮换并移除已提交配置中的真实数据库凭证</w:t>
            </w:r>
          </w:p>
        </w:tc>
        <w:tc>
          <w:tcPr>
            <w:tcW w:type="dxa" w:w="7632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仓库配置仅保留示例值；真实配置仅存在于部署服务器本地；历史暴露凭证完成轮换</w:t>
            </w:r>
          </w:p>
        </w:tc>
      </w:tr>
      <w:tr>
        <w:tc>
          <w:tcPr>
            <w:tcW w:type="dxa" w:w="2304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P0</w:t>
            </w:r>
          </w:p>
        </w:tc>
        <w:tc>
          <w:tcPr>
            <w:tcW w:type="dxa" w:w="4608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跟踪 Jackson databind 修复版本</w:t>
            </w:r>
          </w:p>
        </w:tc>
        <w:tc>
          <w:tcPr>
            <w:tcW w:type="dxa" w:w="7632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修复版本可解析后完成升级、打包和安全回归测试；若采用后续可用安全版本，完成兼容验证</w:t>
            </w:r>
          </w:p>
        </w:tc>
      </w:tr>
      <w:tr>
        <w:tc>
          <w:tcPr>
            <w:tcW w:type="dxa" w:w="2304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P0</w:t>
            </w:r>
          </w:p>
        </w:tc>
        <w:tc>
          <w:tcPr>
            <w:tcW w:type="dxa" w:w="4608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动态 SQL 治理</w:t>
            </w:r>
          </w:p>
        </w:tc>
        <w:tc>
          <w:tcPr>
            <w:tcW w:type="dxa" w:w="7632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所有 ${...} 来源登记；外部输入不得直接进入 SQL 片段；关键路径完成白名单或参数化</w:t>
            </w:r>
          </w:p>
        </w:tc>
      </w:tr>
      <w:tr>
        <w:tc>
          <w:tcPr>
            <w:tcW w:type="dxa" w:w="2304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P0</w:t>
            </w:r>
          </w:p>
        </w:tc>
        <w:tc>
          <w:tcPr>
            <w:tcW w:type="dxa" w:w="4608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远程 URL 请求统一防护</w:t>
            </w:r>
          </w:p>
        </w:tc>
        <w:tc>
          <w:tcPr>
            <w:tcW w:type="dxa" w:w="7632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所有用户可控 URL 请求入口接入 RemoteDownloadGuard 或域名白名单；重定向每跳校验</w:t>
            </w:r>
          </w:p>
        </w:tc>
      </w:tr>
      <w:tr>
        <w:tc>
          <w:tcPr>
            <w:tcW w:type="dxa" w:w="2304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P0</w:t>
            </w:r>
          </w:p>
        </w:tc>
        <w:tc>
          <w:tcPr>
            <w:tcW w:type="dxa" w:w="4608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公开接口白名单治理</w:t>
            </w:r>
          </w:p>
        </w:tc>
        <w:tc>
          <w:tcPr>
            <w:tcW w:type="dxa" w:w="7632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CheckLogin=false 方法均有业务必要性说明；未列入公开白名单的接口必须要求登录</w:t>
            </w:r>
          </w:p>
        </w:tc>
      </w:tr>
      <w:tr>
        <w:tc>
          <w:tcPr>
            <w:tcW w:type="dxa" w:w="2304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P1</w:t>
            </w:r>
          </w:p>
        </w:tc>
        <w:tc>
          <w:tcPr>
            <w:tcW w:type="dxa" w:w="4608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CORS 与日志生产化治理</w:t>
            </w:r>
          </w:p>
        </w:tc>
        <w:tc>
          <w:tcPr>
            <w:tcW w:type="dxa" w:w="7632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CORS 源按环境配置；生产关闭 SQL 明文输出；日志中敏感字段完成脱敏</w:t>
            </w:r>
          </w:p>
        </w:tc>
      </w:tr>
      <w:tr>
        <w:tc>
          <w:tcPr>
            <w:tcW w:type="dxa" w:w="2304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P1</w:t>
            </w:r>
          </w:p>
        </w:tc>
        <w:tc>
          <w:tcPr>
            <w:tcW w:type="dxa" w:w="4608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命令执行点复核</w:t>
            </w:r>
          </w:p>
        </w:tc>
        <w:tc>
          <w:tcPr>
            <w:tcW w:type="dxa" w:w="7632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可执行文件路径与参数来源白名单化；禁止 shell 字符串拼接；补充审计日志</w:t>
            </w:r>
          </w:p>
        </w:tc>
      </w:tr>
      <w:tr>
        <w:tc>
          <w:tcPr>
            <w:tcW w:type="dxa" w:w="2304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P2</w:t>
            </w:r>
          </w:p>
        </w:tc>
        <w:tc>
          <w:tcPr>
            <w:tcW w:type="dxa" w:w="4608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安全扫描工具链补齐</w:t>
            </w:r>
          </w:p>
        </w:tc>
        <w:tc>
          <w:tcPr>
            <w:tcW w:type="dxa" w:w="7632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CI 或发布流程中加入 OSV Scanner 或 OWASP Dependency-Check，并归档扫描结果</w:t>
            </w:r>
          </w:p>
        </w:tc>
      </w:tr>
    </w:tbl>
    <w:p>
      <w:pPr>
        <w:spacing w:after="80"/>
      </w:pPr>
    </w:p>
    <w:p>
      <w:pPr>
        <w:pStyle w:val="Heading2"/>
        <w:spacing w:before="240" w:after="100"/>
      </w:pPr>
      <w:r>
        <w:rPr>
          <w:rFonts w:ascii="Microsoft YaHei" w:hAnsi="Microsoft YaHei" w:eastAsia="Microsoft YaHei" w:cs="Microsoft YaHei"/>
          <w:b/>
          <w:color w:val="2E74B5"/>
          <w:sz w:val="28"/>
        </w:rPr>
        <w:t>6. 定期漏洞自查机制</w:t>
      </w:r>
    </w:p>
    <w:p>
      <w:pPr>
        <w:spacing w:after="100" w:line="269" w:lineRule="auto"/>
      </w:pPr>
      <w:r>
        <w:rPr>
          <w:rFonts w:ascii="Microsoft YaHei" w:hAnsi="Microsoft YaHei" w:eastAsia="Microsoft YaHei" w:cs="Microsoft YaHei"/>
          <w:color w:val="1F2937"/>
          <w:sz w:val="19"/>
        </w:rPr>
        <w:t>建议建立以下周期化机制，并将结果作为企业安全漏洞自查自证材料留档：</w:t>
      </w:r>
    </w:p>
    <w:p>
      <w:pPr>
        <w:spacing w:after="20" w:before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8C7D9"/>
          <w:left w:val="single" w:sz="4" w:space="0" w:color="B8C7D9"/>
          <w:bottom w:val="single" w:sz="4" w:space="0" w:color="B8C7D9"/>
          <w:right w:val="single" w:sz="4" w:space="0" w:color="B8C7D9"/>
          <w:insideH w:val="single" w:sz="4" w:space="0" w:color="B8C7D9"/>
          <w:insideV w:val="single" w:sz="4" w:space="0" w:color="B8C7D9"/>
        </w:tblBorders>
        <w:tblCellMar>
          <w:top w:w="80" w:type="dxa"/>
          <w:start w:w="100" w:type="dxa"/>
          <w:bottom w:w="80" w:type="dxa"/>
          <w:end w:w="100" w:type="dxa"/>
        </w:tblCellMar>
      </w:tblPr>
      <w:tblGrid>
        <w:gridCol w:w="5103"/>
        <w:gridCol w:w="5103"/>
        <w:gridCol w:w="5103"/>
      </w:tblGrid>
      <w:tr>
        <w:trPr>
          <w:tblHeader w:val="true"/>
        </w:trPr>
        <w:tc>
          <w:tcPr>
            <w:tcW w:type="dxa" w:w="2304"/>
            <w:shd w:fill="E8EEF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/>
                <w:color w:val="1F4D78"/>
                <w:sz w:val="16"/>
              </w:rPr>
              <w:t>周期</w:t>
            </w:r>
          </w:p>
        </w:tc>
        <w:tc>
          <w:tcPr>
            <w:tcW w:type="dxa" w:w="4608"/>
            <w:shd w:fill="E8EEF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/>
                <w:color w:val="1F4D78"/>
                <w:sz w:val="16"/>
              </w:rPr>
              <w:t>自查动作</w:t>
            </w:r>
          </w:p>
        </w:tc>
        <w:tc>
          <w:tcPr>
            <w:tcW w:type="dxa" w:w="7632"/>
            <w:shd w:fill="E8EEF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/>
                <w:color w:val="1F4D78"/>
                <w:sz w:val="16"/>
              </w:rPr>
              <w:t>输出材料</w:t>
            </w:r>
          </w:p>
        </w:tc>
      </w:tr>
      <w:tr>
        <w:tc>
          <w:tcPr>
            <w:tcW w:type="dxa" w:w="2304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每月</w:t>
            </w:r>
          </w:p>
        </w:tc>
        <w:tc>
          <w:tcPr>
            <w:tcW w:type="dxa" w:w="4608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依赖漏洞扫描、Maven 依赖树归档、关键漏洞公告复核</w:t>
            </w:r>
          </w:p>
        </w:tc>
        <w:tc>
          <w:tcPr>
            <w:tcW w:type="dxa" w:w="7632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依赖漏洞扫描记录、风险处置台账</w:t>
            </w:r>
          </w:p>
        </w:tc>
      </w:tr>
      <w:tr>
        <w:tc>
          <w:tcPr>
            <w:tcW w:type="dxa" w:w="2304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每季度</w:t>
            </w:r>
          </w:p>
        </w:tc>
        <w:tc>
          <w:tcPr>
            <w:tcW w:type="dxa" w:w="4608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代码安全自查，重点检查鉴权、SQL、文件、远程请求、脚本执行、日志脱敏</w:t>
            </w:r>
          </w:p>
        </w:tc>
        <w:tc>
          <w:tcPr>
            <w:tcW w:type="dxa" w:w="7632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季度安全自查报告、整改跟踪表</w:t>
            </w:r>
          </w:p>
        </w:tc>
      </w:tr>
      <w:tr>
        <w:tc>
          <w:tcPr>
            <w:tcW w:type="dxa" w:w="2304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每次发版前</w:t>
            </w:r>
          </w:p>
        </w:tc>
        <w:tc>
          <w:tcPr>
            <w:tcW w:type="dxa" w:w="4608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执行安全回归测试、检查配置是否含真实凭证、复核新增公开接口</w:t>
            </w:r>
          </w:p>
        </w:tc>
        <w:tc>
          <w:tcPr>
            <w:tcW w:type="dxa" w:w="7632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发版安全检查清单、测试结果截图或日志</w:t>
            </w:r>
          </w:p>
        </w:tc>
      </w:tr>
      <w:tr>
        <w:tc>
          <w:tcPr>
            <w:tcW w:type="dxa" w:w="2304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重大漏洞公告后</w:t>
            </w:r>
          </w:p>
        </w:tc>
        <w:tc>
          <w:tcPr>
            <w:tcW w:type="dxa" w:w="4608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针对影响组件进行应急排查、临时规避、升级验证</w:t>
            </w:r>
          </w:p>
        </w:tc>
        <w:tc>
          <w:tcPr>
            <w:tcW w:type="dxa" w:w="7632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应急响应记录、修复验证记录</w:t>
            </w:r>
          </w:p>
        </w:tc>
      </w:tr>
      <w:tr>
        <w:tc>
          <w:tcPr>
            <w:tcW w:type="dxa" w:w="2304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配置变更时</w:t>
            </w:r>
          </w:p>
        </w:tc>
        <w:tc>
          <w:tcPr>
            <w:tcW w:type="dxa" w:w="4608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复核数据库、Redis、短信、推送、跨域源等配置</w:t>
            </w:r>
          </w:p>
        </w:tc>
        <w:tc>
          <w:tcPr>
            <w:tcW w:type="dxa" w:w="7632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配置变更审批与脱敏检查记录</w:t>
            </w:r>
          </w:p>
        </w:tc>
      </w:tr>
    </w:tbl>
    <w:p>
      <w:pPr>
        <w:spacing w:after="80"/>
      </w:pPr>
    </w:p>
    <w:p>
      <w:pPr>
        <w:spacing w:after="100" w:line="269" w:lineRule="auto"/>
      </w:pPr>
      <w:r>
        <w:rPr>
          <w:rFonts w:ascii="Microsoft YaHei" w:hAnsi="Microsoft YaHei" w:eastAsia="Microsoft YaHei" w:cs="Microsoft YaHei"/>
          <w:color w:val="1F2937"/>
          <w:sz w:val="19"/>
        </w:rPr>
        <w:t>建议固定归档材料：</w:t>
      </w:r>
    </w:p>
    <w:p>
      <w:pPr>
        <w:pStyle w:val="ListBullet"/>
        <w:spacing w:after="60"/>
        <w:ind w:left="360" w:hanging="173"/>
      </w:pPr>
      <w:r>
        <w:rPr>
          <w:rFonts w:ascii="Microsoft YaHei" w:hAnsi="Microsoft YaHei" w:eastAsia="Microsoft YaHei" w:cs="Microsoft YaHei"/>
          <w:color w:val="1F2937"/>
          <w:sz w:val="18"/>
        </w:rPr>
        <w:t>Maven 依赖树与关键依赖版本清单。</w:t>
      </w:r>
    </w:p>
    <w:p>
      <w:pPr>
        <w:pStyle w:val="ListBullet"/>
        <w:spacing w:after="60"/>
        <w:ind w:left="360" w:hanging="173"/>
      </w:pPr>
      <w:r>
        <w:rPr>
          <w:rFonts w:ascii="Microsoft YaHei" w:hAnsi="Microsoft YaHei" w:eastAsia="Microsoft YaHei" w:cs="Microsoft YaHei"/>
          <w:color w:val="1F2937"/>
          <w:sz w:val="18"/>
        </w:rPr>
        <w:t>OSV Scanner 或 OWASP Dependency-Check 报告。</w:t>
      </w:r>
    </w:p>
    <w:p>
      <w:pPr>
        <w:pStyle w:val="ListBullet"/>
        <w:spacing w:after="60"/>
        <w:ind w:left="360" w:hanging="173"/>
      </w:pPr>
      <w:r>
        <w:rPr>
          <w:rFonts w:ascii="Microsoft YaHei" w:hAnsi="Microsoft YaHei" w:eastAsia="Microsoft YaHei" w:cs="Microsoft YaHei"/>
          <w:color w:val="1F2937"/>
          <w:sz w:val="18"/>
        </w:rPr>
        <w:t>安全回归测试结果。</w:t>
      </w:r>
    </w:p>
    <w:p>
      <w:pPr>
        <w:pStyle w:val="ListBullet"/>
        <w:spacing w:after="60"/>
        <w:ind w:left="360" w:hanging="173"/>
      </w:pPr>
      <w:r>
        <w:rPr>
          <w:rFonts w:ascii="Microsoft YaHei" w:hAnsi="Microsoft YaHei" w:eastAsia="Microsoft YaHei" w:cs="Microsoft YaHei"/>
          <w:color w:val="1F2937"/>
          <w:sz w:val="18"/>
        </w:rPr>
        <w:t>风险识别记录与处置状态表。</w:t>
      </w:r>
    </w:p>
    <w:p>
      <w:pPr>
        <w:pStyle w:val="ListBullet"/>
        <w:spacing w:after="60"/>
        <w:ind w:left="360" w:hanging="173"/>
      </w:pPr>
      <w:r>
        <w:rPr>
          <w:rFonts w:ascii="Microsoft YaHei" w:hAnsi="Microsoft YaHei" w:eastAsia="Microsoft YaHei" w:cs="Microsoft YaHei"/>
          <w:color w:val="1F2937"/>
          <w:sz w:val="18"/>
        </w:rPr>
        <w:t>配置脱敏检查记录。</w:t>
      </w:r>
    </w:p>
    <w:p>
      <w:pPr>
        <w:pStyle w:val="ListBullet"/>
        <w:spacing w:after="60"/>
        <w:ind w:left="360" w:hanging="173"/>
      </w:pPr>
      <w:r>
        <w:rPr>
          <w:rFonts w:ascii="Microsoft YaHei" w:hAnsi="Microsoft YaHei" w:eastAsia="Microsoft YaHei" w:cs="Microsoft YaHei"/>
          <w:color w:val="1F2937"/>
          <w:sz w:val="18"/>
        </w:rPr>
        <w:t>公开接口白名单审计记录。</w:t>
      </w:r>
    </w:p>
    <w:p>
      <w:pPr>
        <w:pStyle w:val="Heading2"/>
        <w:spacing w:before="240" w:after="100"/>
      </w:pPr>
      <w:r>
        <w:rPr>
          <w:rFonts w:ascii="Microsoft YaHei" w:hAnsi="Microsoft YaHei" w:eastAsia="Microsoft YaHei" w:cs="Microsoft YaHei"/>
          <w:b/>
          <w:color w:val="2E74B5"/>
          <w:sz w:val="28"/>
        </w:rPr>
        <w:t>7. 附件证据清单</w:t>
      </w:r>
    </w:p>
    <w:p>
      <w:pPr>
        <w:spacing w:after="20" w:before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8C7D9"/>
          <w:left w:val="single" w:sz="4" w:space="0" w:color="B8C7D9"/>
          <w:bottom w:val="single" w:sz="4" w:space="0" w:color="B8C7D9"/>
          <w:right w:val="single" w:sz="4" w:space="0" w:color="B8C7D9"/>
          <w:insideH w:val="single" w:sz="4" w:space="0" w:color="B8C7D9"/>
          <w:insideV w:val="single" w:sz="4" w:space="0" w:color="B8C7D9"/>
        </w:tblBorders>
        <w:tblCellMar>
          <w:top w:w="80" w:type="dxa"/>
          <w:start w:w="100" w:type="dxa"/>
          <w:bottom w:w="80" w:type="dxa"/>
          <w:end w:w="100" w:type="dxa"/>
        </w:tblCellMar>
      </w:tblPr>
      <w:tblGrid>
        <w:gridCol w:w="5103"/>
        <w:gridCol w:w="5103"/>
        <w:gridCol w:w="5103"/>
      </w:tblGrid>
      <w:tr>
        <w:trPr>
          <w:tblHeader w:val="true"/>
        </w:trPr>
        <w:tc>
          <w:tcPr>
            <w:tcW w:type="dxa" w:w="2304"/>
            <w:shd w:fill="E8EEF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/>
                <w:color w:val="1F4D78"/>
                <w:sz w:val="16"/>
              </w:rPr>
              <w:t>证据项</w:t>
            </w:r>
          </w:p>
        </w:tc>
        <w:tc>
          <w:tcPr>
            <w:tcW w:type="dxa" w:w="4608"/>
            <w:shd w:fill="E8EEF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/>
                <w:color w:val="1F4D78"/>
                <w:sz w:val="16"/>
              </w:rPr>
              <w:t>文件或命令</w:t>
            </w:r>
          </w:p>
        </w:tc>
        <w:tc>
          <w:tcPr>
            <w:tcW w:type="dxa" w:w="7632"/>
            <w:shd w:fill="E8EEF5"/>
            <w:vAlign w:val="center"/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Microsoft YaHei" w:hAnsi="Microsoft YaHei" w:eastAsia="Microsoft YaHei" w:cs="Microsoft YaHei"/>
                <w:b/>
                <w:color w:val="1F4D78"/>
                <w:sz w:val="16"/>
              </w:rPr>
              <w:t>说明</w:t>
            </w:r>
          </w:p>
        </w:tc>
      </w:tr>
      <w:tr>
        <w:tc>
          <w:tcPr>
            <w:tcW w:type="dxa" w:w="2304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安全回归测试</w:t>
            </w:r>
          </w:p>
        </w:tc>
        <w:tc>
          <w:tcPr>
            <w:tcW w:type="dxa" w:w="4608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mvn -q -Dtest=SecurityRegressionTest test</w:t>
            </w:r>
          </w:p>
        </w:tc>
        <w:tc>
          <w:tcPr>
            <w:tcW w:type="dxa" w:w="7632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已通过，覆盖路径、压缩包、CORS、远程下载、SQL 与公开接口控制</w:t>
            </w:r>
          </w:p>
        </w:tc>
      </w:tr>
      <w:tr>
        <w:tc>
          <w:tcPr>
            <w:tcW w:type="dxa" w:w="2304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依赖树</w:t>
            </w:r>
          </w:p>
        </w:tc>
        <w:tc>
          <w:tcPr>
            <w:tcW w:type="dxa" w:w="4608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weberp/target/dependency-tree.txt</w:t>
            </w:r>
          </w:p>
        </w:tc>
        <w:tc>
          <w:tcPr>
            <w:tcW w:type="dxa" w:w="7632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已生成，用于记录当前第三方组件版本</w:t>
            </w:r>
          </w:p>
        </w:tc>
      </w:tr>
      <w:tr>
        <w:tc>
          <w:tcPr>
            <w:tcW w:type="dxa" w:w="2304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依赖漏洞来源</w:t>
            </w:r>
          </w:p>
        </w:tc>
        <w:tc>
          <w:tcPr>
            <w:tcW w:type="dxa" w:w="4608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OSV GHSA-5jmj-h7xm-6q6v?https://osv.dev/vulnerability/GHSA-5jmj-h7xm-6q6v?</w:t>
            </w:r>
          </w:p>
        </w:tc>
        <w:tc>
          <w:tcPr>
            <w:tcW w:type="dxa" w:w="7632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Jackson databind 新披露风险来源</w:t>
            </w:r>
          </w:p>
        </w:tc>
      </w:tr>
      <w:tr>
        <w:tc>
          <w:tcPr>
            <w:tcW w:type="dxa" w:w="2304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鉴权控制</w:t>
            </w:r>
          </w:p>
        </w:tc>
        <w:tc>
          <w:tcPr>
            <w:tcW w:type="dxa" w:w="4608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SecurityConfig.java、BaseHandler.java、PublicApiRegistry.java</w:t>
            </w:r>
          </w:p>
        </w:tc>
        <w:tc>
          <w:tcPr>
            <w:tcW w:type="dxa" w:w="7632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入口放行、业务层校验与公开接口白名单</w:t>
            </w:r>
          </w:p>
        </w:tc>
      </w:tr>
      <w:tr>
        <w:tc>
          <w:tcPr>
            <w:tcW w:type="dxa" w:w="2304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SQL 控制</w:t>
            </w:r>
          </w:p>
        </w:tc>
        <w:tc>
          <w:tcPr>
            <w:tcW w:type="dxa" w:w="4608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SqlSafetyGuard.java、mapper/*.xml</w:t>
            </w:r>
          </w:p>
        </w:tc>
        <w:tc>
          <w:tcPr>
            <w:tcW w:type="dxa" w:w="7632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动态 SQL 风险识别与部分防护落点</w:t>
            </w:r>
          </w:p>
        </w:tc>
      </w:tr>
      <w:tr>
        <w:tc>
          <w:tcPr>
            <w:tcW w:type="dxa" w:w="2304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下载控制</w:t>
            </w:r>
          </w:p>
        </w:tc>
        <w:tc>
          <w:tcPr>
            <w:tcW w:type="dxa" w:w="4608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RemoteDownloadGuard.java、FileUtil.java</w:t>
            </w:r>
          </w:p>
        </w:tc>
        <w:tc>
          <w:tcPr>
            <w:tcW w:type="dxa" w:w="7632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远程下载协议、地址、重定向和大小控制</w:t>
            </w:r>
          </w:p>
        </w:tc>
      </w:tr>
      <w:tr>
        <w:tc>
          <w:tcPr>
            <w:tcW w:type="dxa" w:w="2304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文件控制</w:t>
            </w:r>
          </w:p>
        </w:tc>
        <w:tc>
          <w:tcPr>
            <w:tcW w:type="dxa" w:w="4608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FileUtil.java、ZipUtil.java</w:t>
            </w:r>
          </w:p>
        </w:tc>
        <w:tc>
          <w:tcPr>
            <w:tcW w:type="dxa" w:w="7632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路径规范化、根目录校验和 Zip Slip 防护</w:t>
            </w:r>
          </w:p>
        </w:tc>
      </w:tr>
      <w:tr>
        <w:tc>
          <w:tcPr>
            <w:tcW w:type="dxa" w:w="2304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脚本控制</w:t>
            </w:r>
          </w:p>
        </w:tc>
        <w:tc>
          <w:tcPr>
            <w:tcW w:type="dxa" w:w="4608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JsEngine.java、application.properties</w:t>
            </w:r>
          </w:p>
        </w:tc>
        <w:tc>
          <w:tcPr>
            <w:tcW w:type="dxa" w:w="7632"/>
            <w:shd w:fill="F6F8FA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GraalJS 全访问默认关闭</w:t>
            </w:r>
          </w:p>
        </w:tc>
      </w:tr>
      <w:tr>
        <w:tc>
          <w:tcPr>
            <w:tcW w:type="dxa" w:w="2304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工具环境限制</w:t>
            </w:r>
          </w:p>
        </w:tc>
        <w:tc>
          <w:tcPr>
            <w:tcW w:type="dxa" w:w="4608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osv-scanner --version、dependency-check --version</w:t>
            </w:r>
          </w:p>
        </w:tc>
        <w:tc>
          <w:tcPr>
            <w:tcW w:type="dxa" w:w="7632"/>
            <w:vAlign w:val="center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Microsoft YaHei" w:hAnsi="Microsoft YaHei" w:eastAsia="Microsoft YaHei" w:cs="Microsoft YaHei"/>
                <w:b w:val="0"/>
                <w:color w:val="1F2937"/>
                <w:sz w:val="17"/>
              </w:rPr>
              <w:t>当前本机未安装，建议在 CI 或发布机补齐</w:t>
            </w:r>
          </w:p>
        </w:tc>
      </w:tr>
    </w:tbl>
    <w:p>
      <w:pPr>
        <w:spacing w:after="80"/>
      </w:pPr>
    </w:p>
    <w:p>
      <w:pPr>
        <w:pStyle w:val="Heading2"/>
        <w:spacing w:before="240" w:after="100"/>
      </w:pPr>
      <w:r>
        <w:rPr>
          <w:rFonts w:ascii="Microsoft YaHei" w:hAnsi="Microsoft YaHei" w:eastAsia="Microsoft YaHei" w:cs="Microsoft YaHei"/>
          <w:b/>
          <w:color w:val="2E74B5"/>
          <w:sz w:val="28"/>
        </w:rPr>
        <w:t>8. 结论</w:t>
      </w:r>
    </w:p>
    <w:p>
      <w:pPr>
        <w:spacing w:after="100" w:line="269" w:lineRule="auto"/>
      </w:pPr>
      <w:r>
        <w:rPr>
          <w:rFonts w:ascii="Microsoft YaHei" w:hAnsi="Microsoft YaHei" w:eastAsia="Microsoft YaHei" w:cs="Microsoft YaHei"/>
          <w:color w:val="1F2937"/>
          <w:sz w:val="19"/>
        </w:rPr>
        <w:t>本项目已开展面向依赖、配置、认证授权、SQL、文件处理、远程下载、脚本执行、跨域和回归测试的安全漏洞自查工作，并已具备多项风险规避措施。当前风险主要集中在配置凭证治理、Jackson 新披露漏洞跟踪、动态 SQL 全量收敛、残留远程 URL 请求统一防护和生产环境安全配置固化。</w:t>
      </w:r>
    </w:p>
    <w:p>
      <w:pPr>
        <w:spacing w:after="100" w:line="269" w:lineRule="auto"/>
      </w:pPr>
      <w:r>
        <w:rPr>
          <w:rFonts w:ascii="Microsoft YaHei" w:hAnsi="Microsoft YaHei" w:eastAsia="Microsoft YaHei" w:cs="Microsoft YaHei"/>
          <w:color w:val="1F2937"/>
          <w:sz w:val="19"/>
        </w:rPr>
        <w:t>上述事项已纳入整改跟踪台账。后续通过定期扫描、发版前安全检查、重大漏洞应急复核和自动化安全回归测试，持续证明企业具备安全漏洞风险识别、处置和规避能力。</w:t>
      </w:r>
    </w:p>
    <w:sectPr w:rsidR="00FC693F" w:rsidRPr="0006063C" w:rsidSect="00034616">
      <w:footerReference w:type="default" r:id="rId9"/>
      <w:pgSz w:w="16838" w:h="11906" w:orient="landscape"/>
      <w:pgMar w:top="765" w:right="765" w:bottom="765" w:left="765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Microsoft YaHei" w:hAnsi="Microsoft YaHei" w:eastAsia="Microsoft YaHei" w:cs="Microsoft YaHei"/>
        <w:color w:val="5B677A"/>
        <w:sz w:val="17"/>
      </w:rPr>
      <w:t xml:space="preserve">? </w:t>
    </w:r>
    <w:r>
      <w:fldChar w:fldCharType="begin"/>
      <w:instrText xml:space="preserve">PAGE</w:instrText>
      <w:fldChar w:fldCharType="end"/>
    </w:r>
    <w:r>
      <w:rPr>
        <w:rFonts w:ascii="Microsoft YaHei" w:hAnsi="Microsoft YaHei" w:eastAsia="Microsoft YaHei" w:cs="Microsoft YaHei"/>
        <w:color w:val="5B677A"/>
        <w:sz w:val="17"/>
      </w:rPr>
      <w:t xml:space="preserve"> ?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9" w:lineRule="auto"/>
    </w:pPr>
    <w:rPr>
      <w:rFonts w:ascii="Microsoft YaHei" w:hAnsi="Microsoft YaHei" w:eastAsia="Microsoft YaHei"/>
      <w:color w:val="1F2937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WebErp ????????????</dc:title>
  <dc:subject>???????????????????</dc:subject>
  <dc:creator>Codex</dc:creator>
  <cp:keywords>??????, ????, ????, WebErp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