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1488A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接口配置文档</w:t>
      </w:r>
    </w:p>
    <w:p w14:paraId="7C474F56">
      <w:pPr>
        <w:numPr>
          <w:ilvl w:val="0"/>
          <w:numId w:val="1"/>
        </w:numPr>
        <w:jc w:val="both"/>
        <w:rPr>
          <w:rFonts w:hint="eastAsia"/>
          <w:sz w:val="24"/>
          <w:szCs w:val="24"/>
          <w:highlight w:val="red"/>
          <w:lang w:val="en-US" w:eastAsia="zh-CN"/>
        </w:rPr>
      </w:pPr>
      <w:r>
        <w:rPr>
          <w:rFonts w:hint="eastAsia"/>
          <w:sz w:val="24"/>
          <w:szCs w:val="24"/>
          <w:highlight w:val="red"/>
          <w:lang w:val="en-US" w:eastAsia="zh-CN"/>
        </w:rPr>
        <w:t>接口配置表</w:t>
      </w:r>
    </w:p>
    <w:p w14:paraId="593EE80E"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接口功能主要由两张表实现</w:t>
      </w:r>
    </w:p>
    <w:p w14:paraId="51383A6A"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P_systemEventApiTab接口配置主表</w:t>
      </w:r>
    </w:p>
    <w:p w14:paraId="668506A8"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P_systemEventApiPmsTab接口配置参数表</w:t>
      </w:r>
    </w:p>
    <w:p w14:paraId="6D679BBE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highlight w:val="red"/>
          <w:lang w:val="en-US" w:eastAsia="zh-CN"/>
        </w:rPr>
      </w:pPr>
      <w:r>
        <w:rPr>
          <w:rFonts w:hint="eastAsia"/>
          <w:sz w:val="24"/>
          <w:szCs w:val="24"/>
          <w:highlight w:val="red"/>
          <w:lang w:val="en-US" w:eastAsia="zh-CN"/>
        </w:rPr>
        <w:t>接口配置表主要字段说明</w:t>
      </w:r>
    </w:p>
    <w:p w14:paraId="54137964">
      <w:pPr>
        <w:numPr>
          <w:ilvl w:val="0"/>
          <w:numId w:val="0"/>
        </w:numPr>
        <w:jc w:val="both"/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p_systemEventApiTab接口配置主表字段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442"/>
        <w:gridCol w:w="5372"/>
      </w:tblGrid>
      <w:tr w14:paraId="3C752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0F776EFA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字段名</w:t>
            </w:r>
          </w:p>
        </w:tc>
        <w:tc>
          <w:tcPr>
            <w:tcW w:w="1473" w:type="dxa"/>
            <w:vAlign w:val="center"/>
          </w:tcPr>
          <w:p w14:paraId="1712254B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5510" w:type="dxa"/>
            <w:vAlign w:val="center"/>
          </w:tcPr>
          <w:p w14:paraId="39C5FA20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说明</w:t>
            </w:r>
          </w:p>
        </w:tc>
      </w:tr>
      <w:tr w14:paraId="55BB2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4293D9E5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id</w:t>
            </w:r>
          </w:p>
        </w:tc>
        <w:tc>
          <w:tcPr>
            <w:tcW w:w="1473" w:type="dxa"/>
            <w:vAlign w:val="center"/>
          </w:tcPr>
          <w:p w14:paraId="6034D8EE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510" w:type="dxa"/>
            <w:vAlign w:val="center"/>
          </w:tcPr>
          <w:p w14:paraId="0E1374C1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自增长id</w:t>
            </w:r>
          </w:p>
        </w:tc>
      </w:tr>
      <w:tr w14:paraId="27DB0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51823E24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title</w:t>
            </w:r>
          </w:p>
        </w:tc>
        <w:tc>
          <w:tcPr>
            <w:tcW w:w="1473" w:type="dxa"/>
            <w:vAlign w:val="center"/>
          </w:tcPr>
          <w:p w14:paraId="34F5DF3D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Varchar</w:t>
            </w:r>
          </w:p>
        </w:tc>
        <w:tc>
          <w:tcPr>
            <w:tcW w:w="5510" w:type="dxa"/>
            <w:vAlign w:val="center"/>
          </w:tcPr>
          <w:p w14:paraId="746BDD6D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接口标题</w:t>
            </w:r>
          </w:p>
        </w:tc>
      </w:tr>
      <w:tr w14:paraId="499E9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1E31AD39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url</w:t>
            </w:r>
          </w:p>
        </w:tc>
        <w:tc>
          <w:tcPr>
            <w:tcW w:w="1473" w:type="dxa"/>
            <w:vAlign w:val="center"/>
          </w:tcPr>
          <w:p w14:paraId="0439D1C5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Varchar</w:t>
            </w:r>
          </w:p>
        </w:tc>
        <w:tc>
          <w:tcPr>
            <w:tcW w:w="5510" w:type="dxa"/>
            <w:vAlign w:val="center"/>
          </w:tcPr>
          <w:p w14:paraId="54B881AD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接口地址</w:t>
            </w:r>
          </w:p>
        </w:tc>
      </w:tr>
      <w:tr w14:paraId="1B64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03644CF9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dllcoid</w:t>
            </w:r>
          </w:p>
        </w:tc>
        <w:tc>
          <w:tcPr>
            <w:tcW w:w="1473" w:type="dxa"/>
            <w:vAlign w:val="center"/>
          </w:tcPr>
          <w:p w14:paraId="2E2A3317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Varchar</w:t>
            </w:r>
          </w:p>
        </w:tc>
        <w:tc>
          <w:tcPr>
            <w:tcW w:w="5510" w:type="dxa"/>
            <w:vAlign w:val="center"/>
          </w:tcPr>
          <w:p w14:paraId="6046D8EA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功能模块编号</w:t>
            </w:r>
          </w:p>
        </w:tc>
      </w:tr>
      <w:tr w14:paraId="1DDF3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2C62A611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contextMenuId</w:t>
            </w:r>
          </w:p>
        </w:tc>
        <w:tc>
          <w:tcPr>
            <w:tcW w:w="1473" w:type="dxa"/>
            <w:vAlign w:val="center"/>
          </w:tcPr>
          <w:p w14:paraId="1F249896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510" w:type="dxa"/>
            <w:vAlign w:val="center"/>
          </w:tcPr>
          <w:p w14:paraId="1D841D5E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右键id(右键调用接口可填写，非右键填0)</w:t>
            </w:r>
          </w:p>
        </w:tc>
      </w:tr>
      <w:tr w14:paraId="18296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65D3A0F8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reqDataType</w:t>
            </w:r>
          </w:p>
        </w:tc>
        <w:tc>
          <w:tcPr>
            <w:tcW w:w="1473" w:type="dxa"/>
            <w:vAlign w:val="center"/>
          </w:tcPr>
          <w:p w14:paraId="643EDC8D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510" w:type="dxa"/>
            <w:vAlign w:val="center"/>
          </w:tcPr>
          <w:p w14:paraId="1CAE9E4A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请求数据类型（0text，1json,2xml,非特殊情况为1）</w:t>
            </w:r>
          </w:p>
        </w:tc>
      </w:tr>
      <w:tr w14:paraId="14797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268D7031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resDataType</w:t>
            </w:r>
          </w:p>
        </w:tc>
        <w:tc>
          <w:tcPr>
            <w:tcW w:w="1473" w:type="dxa"/>
            <w:vAlign w:val="center"/>
          </w:tcPr>
          <w:p w14:paraId="47E89F2A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510" w:type="dxa"/>
            <w:vAlign w:val="center"/>
          </w:tcPr>
          <w:p w14:paraId="6FD49642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返回数据类型（0text，1json,2xml,非特殊情况为1）</w:t>
            </w:r>
          </w:p>
        </w:tc>
      </w:tr>
      <w:tr w14:paraId="36C82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54868797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method</w:t>
            </w:r>
          </w:p>
        </w:tc>
        <w:tc>
          <w:tcPr>
            <w:tcW w:w="1473" w:type="dxa"/>
            <w:vAlign w:val="center"/>
          </w:tcPr>
          <w:p w14:paraId="64CEB1ED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510" w:type="dxa"/>
            <w:vAlign w:val="center"/>
          </w:tcPr>
          <w:p w14:paraId="6F64AFA1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请求方法（0get,1post）</w:t>
            </w:r>
          </w:p>
        </w:tc>
      </w:tr>
      <w:tr w14:paraId="7346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781179F9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datasource</w:t>
            </w:r>
          </w:p>
        </w:tc>
        <w:tc>
          <w:tcPr>
            <w:tcW w:w="1473" w:type="dxa"/>
            <w:vAlign w:val="center"/>
          </w:tcPr>
          <w:p w14:paraId="2B9F92EF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Varchar</w:t>
            </w:r>
          </w:p>
        </w:tc>
        <w:tc>
          <w:tcPr>
            <w:tcW w:w="5510" w:type="dxa"/>
            <w:vAlign w:val="center"/>
          </w:tcPr>
          <w:p w14:paraId="23A3FE80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数据源sql(以@符号开头，查询出的数据源有多少行则接口执行多少次，数据源的数据可以在后续的参数sql中进行替换)</w:t>
            </w:r>
          </w:p>
        </w:tc>
      </w:tr>
      <w:tr w14:paraId="7133F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43BAEC12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actionType</w:t>
            </w:r>
          </w:p>
        </w:tc>
        <w:tc>
          <w:tcPr>
            <w:tcW w:w="1473" w:type="dxa"/>
            <w:vAlign w:val="center"/>
          </w:tcPr>
          <w:p w14:paraId="23F92FC5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510" w:type="dxa"/>
            <w:vAlign w:val="center"/>
          </w:tcPr>
          <w:p w14:paraId="068AF065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接口类型（0手动事件，1循环事件，循环事件需要服务器设置并支持，一般为0）</w:t>
            </w:r>
          </w:p>
        </w:tc>
      </w:tr>
      <w:tr w14:paraId="32FD9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9" w:type="dxa"/>
            <w:vAlign w:val="center"/>
          </w:tcPr>
          <w:p w14:paraId="5727C5CE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eType</w:t>
            </w:r>
          </w:p>
        </w:tc>
        <w:tc>
          <w:tcPr>
            <w:tcW w:w="1473" w:type="dxa"/>
            <w:vAlign w:val="center"/>
          </w:tcPr>
          <w:p w14:paraId="1F9B30B9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Varchar</w:t>
            </w:r>
          </w:p>
        </w:tc>
        <w:tc>
          <w:tcPr>
            <w:tcW w:w="5510" w:type="dxa"/>
            <w:vAlign w:val="center"/>
          </w:tcPr>
          <w:p w14:paraId="0DD7D961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事件类型（AfterModuleDataChange数据改变时，AfterModuleContextMenu右键点击时，</w:t>
            </w:r>
          </w:p>
          <w:p w14:paraId="7340F334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AfterModuleAuditStateChange审核状态改变时）</w:t>
            </w:r>
          </w:p>
        </w:tc>
      </w:tr>
      <w:tr w14:paraId="06C9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9" w:type="dxa"/>
            <w:vAlign w:val="center"/>
          </w:tcPr>
          <w:p w14:paraId="300449DF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eType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Code</w:t>
            </w:r>
          </w:p>
        </w:tc>
        <w:tc>
          <w:tcPr>
            <w:tcW w:w="1473" w:type="dxa"/>
            <w:vAlign w:val="center"/>
          </w:tcPr>
          <w:p w14:paraId="03EC14A4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510" w:type="dxa"/>
            <w:vAlign w:val="center"/>
          </w:tcPr>
          <w:p w14:paraId="61F43009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事件类型小类（pubadd中添加保存为1，修改保存为2，审核时为31，反审为32）其他情况可以不填</w:t>
            </w:r>
          </w:p>
        </w:tc>
      </w:tr>
      <w:tr w14:paraId="73EC8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9" w:type="dxa"/>
            <w:vAlign w:val="center"/>
          </w:tcPr>
          <w:p w14:paraId="7B7441EF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finshAction</w:t>
            </w:r>
          </w:p>
        </w:tc>
        <w:tc>
          <w:tcPr>
            <w:tcW w:w="1473" w:type="dxa"/>
            <w:vAlign w:val="center"/>
          </w:tcPr>
          <w:p w14:paraId="31835E57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Varchar</w:t>
            </w:r>
          </w:p>
        </w:tc>
        <w:tc>
          <w:tcPr>
            <w:tcW w:w="5510" w:type="dxa"/>
            <w:vAlign w:val="center"/>
          </w:tcPr>
          <w:p w14:paraId="52531F07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接口执行后sql(以@符号开头)</w:t>
            </w:r>
          </w:p>
        </w:tc>
      </w:tr>
      <w:tr w14:paraId="55870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9" w:type="dxa"/>
            <w:vAlign w:val="center"/>
          </w:tcPr>
          <w:p w14:paraId="58740B8C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finshDataPm</w:t>
            </w:r>
          </w:p>
        </w:tc>
        <w:tc>
          <w:tcPr>
            <w:tcW w:w="1473" w:type="dxa"/>
            <w:vAlign w:val="center"/>
          </w:tcPr>
          <w:p w14:paraId="2055F110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Varchar</w:t>
            </w:r>
          </w:p>
        </w:tc>
        <w:tc>
          <w:tcPr>
            <w:tcW w:w="5510" w:type="dxa"/>
            <w:vAlign w:val="center"/>
          </w:tcPr>
          <w:p w14:paraId="250C1E5B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接口执行后sql替换参数名</w:t>
            </w:r>
          </w:p>
        </w:tc>
      </w:tr>
      <w:tr w14:paraId="05CE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9" w:type="dxa"/>
            <w:vAlign w:val="center"/>
          </w:tcPr>
          <w:p w14:paraId="54968069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orderValue</w:t>
            </w:r>
          </w:p>
        </w:tc>
        <w:tc>
          <w:tcPr>
            <w:tcW w:w="1473" w:type="dxa"/>
            <w:vAlign w:val="center"/>
          </w:tcPr>
          <w:p w14:paraId="6DBFC8B0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510" w:type="dxa"/>
            <w:vAlign w:val="center"/>
          </w:tcPr>
          <w:p w14:paraId="4902BB1B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接口执行顺序（相同模块编号，相同接口的执行顺序）</w:t>
            </w:r>
          </w:p>
        </w:tc>
      </w:tr>
      <w:tr w14:paraId="62D94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9" w:type="dxa"/>
            <w:vAlign w:val="center"/>
          </w:tcPr>
          <w:p w14:paraId="38A34B63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pmsType</w:t>
            </w:r>
          </w:p>
        </w:tc>
        <w:tc>
          <w:tcPr>
            <w:tcW w:w="1473" w:type="dxa"/>
            <w:vAlign w:val="center"/>
          </w:tcPr>
          <w:p w14:paraId="3A238CF0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510" w:type="dxa"/>
            <w:vAlign w:val="center"/>
          </w:tcPr>
          <w:p w14:paraId="1AF6A321"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参数类型（0为旧版，1为新版，2为新版优化，一般为2）</w:t>
            </w:r>
          </w:p>
        </w:tc>
      </w:tr>
      <w:tr w14:paraId="408A8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9" w:type="dxa"/>
            <w:vAlign w:val="center"/>
          </w:tcPr>
          <w:p w14:paraId="62B27616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tokenApiId</w:t>
            </w:r>
          </w:p>
        </w:tc>
        <w:tc>
          <w:tcPr>
            <w:tcW w:w="1473" w:type="dxa"/>
            <w:vAlign w:val="center"/>
          </w:tcPr>
          <w:p w14:paraId="7C3D99AE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510" w:type="dxa"/>
            <w:vAlign w:val="center"/>
          </w:tcPr>
          <w:p w14:paraId="27F782AB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如果接口有token，则该值为该接口对应的token接口id</w:t>
            </w:r>
          </w:p>
        </w:tc>
      </w:tr>
      <w:tr w14:paraId="17E5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9" w:type="dxa"/>
            <w:vAlign w:val="center"/>
          </w:tcPr>
          <w:p w14:paraId="464F63A4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tokenType</w:t>
            </w:r>
          </w:p>
        </w:tc>
        <w:tc>
          <w:tcPr>
            <w:tcW w:w="1473" w:type="dxa"/>
            <w:vAlign w:val="center"/>
          </w:tcPr>
          <w:p w14:paraId="3EB5FBBB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510" w:type="dxa"/>
            <w:vAlign w:val="center"/>
          </w:tcPr>
          <w:p w14:paraId="1929AE7C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token类型（0为替换url中的{token}验证，1为通过cookie验证）</w:t>
            </w:r>
          </w:p>
        </w:tc>
      </w:tr>
      <w:tr w14:paraId="2B22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9" w:type="dxa"/>
            <w:vAlign w:val="center"/>
          </w:tcPr>
          <w:p w14:paraId="1AEC2585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dynamicToken</w:t>
            </w:r>
          </w:p>
        </w:tc>
        <w:tc>
          <w:tcPr>
            <w:tcW w:w="1473" w:type="dxa"/>
            <w:vAlign w:val="center"/>
          </w:tcPr>
          <w:p w14:paraId="1631DD12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Varchar</w:t>
            </w:r>
          </w:p>
        </w:tc>
        <w:tc>
          <w:tcPr>
            <w:tcW w:w="5510" w:type="dxa"/>
            <w:vAlign w:val="center"/>
          </w:tcPr>
          <w:p w14:paraId="0C67D4ED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存储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tokenType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为0的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Token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值</w:t>
            </w:r>
          </w:p>
        </w:tc>
      </w:tr>
    </w:tbl>
    <w:p w14:paraId="46899E50"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P_systemEventApiPmsTab接口配置参数表字段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441"/>
        <w:gridCol w:w="5336"/>
      </w:tblGrid>
      <w:tr w14:paraId="4E415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0A3D2F5B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字段名</w:t>
            </w:r>
          </w:p>
        </w:tc>
        <w:tc>
          <w:tcPr>
            <w:tcW w:w="1445" w:type="dxa"/>
            <w:vAlign w:val="center"/>
          </w:tcPr>
          <w:p w14:paraId="4CE3F49C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5369" w:type="dxa"/>
            <w:vAlign w:val="center"/>
          </w:tcPr>
          <w:p w14:paraId="000243F4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说明</w:t>
            </w:r>
          </w:p>
        </w:tc>
      </w:tr>
      <w:tr w14:paraId="6D428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36BA989E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id</w:t>
            </w:r>
          </w:p>
        </w:tc>
        <w:tc>
          <w:tcPr>
            <w:tcW w:w="1445" w:type="dxa"/>
            <w:vAlign w:val="center"/>
          </w:tcPr>
          <w:p w14:paraId="3E7DE52A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369" w:type="dxa"/>
            <w:vAlign w:val="center"/>
          </w:tcPr>
          <w:p w14:paraId="17136726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自增长id</w:t>
            </w:r>
          </w:p>
        </w:tc>
      </w:tr>
      <w:tr w14:paraId="48B59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591561DB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apiId</w:t>
            </w:r>
          </w:p>
        </w:tc>
        <w:tc>
          <w:tcPr>
            <w:tcW w:w="1445" w:type="dxa"/>
            <w:vAlign w:val="center"/>
          </w:tcPr>
          <w:p w14:paraId="3D318DFF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369" w:type="dxa"/>
            <w:vAlign w:val="center"/>
          </w:tcPr>
          <w:p w14:paraId="138F9A54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关联主表id</w:t>
            </w:r>
          </w:p>
        </w:tc>
      </w:tr>
      <w:tr w14:paraId="3C955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6EEB28A9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pmType</w:t>
            </w:r>
          </w:p>
        </w:tc>
        <w:tc>
          <w:tcPr>
            <w:tcW w:w="1445" w:type="dxa"/>
            <w:vAlign w:val="center"/>
          </w:tcPr>
          <w:p w14:paraId="57522853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369" w:type="dxa"/>
            <w:vAlign w:val="center"/>
          </w:tcPr>
          <w:p w14:paraId="0D2B8CE2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参数类型（0为请求参数，1为接收参数，2为header参数）</w:t>
            </w:r>
          </w:p>
        </w:tc>
      </w:tr>
      <w:tr w14:paraId="31439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16DD6F84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valueType</w:t>
            </w:r>
          </w:p>
        </w:tc>
        <w:tc>
          <w:tcPr>
            <w:tcW w:w="1445" w:type="dxa"/>
            <w:vAlign w:val="center"/>
          </w:tcPr>
          <w:p w14:paraId="07217B10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369" w:type="dxa"/>
            <w:vAlign w:val="center"/>
          </w:tcPr>
          <w:p w14:paraId="64472B4E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值类型（0值，1json对象，2json数组）</w:t>
            </w:r>
          </w:p>
        </w:tc>
      </w:tr>
      <w:tr w14:paraId="35A89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70123BCE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pmsDataSource</w:t>
            </w:r>
          </w:p>
        </w:tc>
        <w:tc>
          <w:tcPr>
            <w:tcW w:w="1445" w:type="dxa"/>
            <w:vAlign w:val="center"/>
          </w:tcPr>
          <w:p w14:paraId="288D17E3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Varchar</w:t>
            </w:r>
          </w:p>
        </w:tc>
        <w:tc>
          <w:tcPr>
            <w:tcW w:w="5369" w:type="dxa"/>
            <w:vAlign w:val="center"/>
          </w:tcPr>
          <w:p w14:paraId="6F440238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参数数据源sql（以@符号开头，可替换主表数据源的值，格式为{pms}）</w:t>
            </w:r>
          </w:p>
        </w:tc>
      </w:tr>
      <w:tr w14:paraId="11CA8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7CF1070B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1445" w:type="dxa"/>
            <w:vAlign w:val="center"/>
          </w:tcPr>
          <w:p w14:paraId="5A7A30DC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Varchar</w:t>
            </w:r>
          </w:p>
        </w:tc>
        <w:tc>
          <w:tcPr>
            <w:tcW w:w="5369" w:type="dxa"/>
            <w:vAlign w:val="center"/>
          </w:tcPr>
          <w:p w14:paraId="277D007C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参数名</w:t>
            </w:r>
          </w:p>
        </w:tc>
      </w:tr>
      <w:tr w14:paraId="4794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6762292B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value</w:t>
            </w:r>
          </w:p>
        </w:tc>
        <w:tc>
          <w:tcPr>
            <w:tcW w:w="1445" w:type="dxa"/>
            <w:vAlign w:val="center"/>
          </w:tcPr>
          <w:p w14:paraId="7BEE7874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Varchar</w:t>
            </w:r>
          </w:p>
        </w:tc>
        <w:tc>
          <w:tcPr>
            <w:tcW w:w="5369" w:type="dxa"/>
            <w:vAlign w:val="center"/>
          </w:tcPr>
          <w:p w14:paraId="2A10A135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参数值（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pmType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为0时可填，可为sql或固定值，如果为则sql以@符号开头，固定取第一行第一列的值）</w:t>
            </w:r>
          </w:p>
        </w:tc>
      </w:tr>
      <w:tr w14:paraId="4330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4B841CD7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unionPmsId</w:t>
            </w:r>
          </w:p>
        </w:tc>
        <w:tc>
          <w:tcPr>
            <w:tcW w:w="1445" w:type="dxa"/>
            <w:vAlign w:val="center"/>
          </w:tcPr>
          <w:p w14:paraId="205173F4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Int</w:t>
            </w:r>
          </w:p>
        </w:tc>
        <w:tc>
          <w:tcPr>
            <w:tcW w:w="5369" w:type="dxa"/>
            <w:vAlign w:val="center"/>
          </w:tcPr>
          <w:p w14:paraId="01438DDD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关联参数id，如果传递参数结构中存在json数组或json对象，则为对应的参数id</w:t>
            </w:r>
          </w:p>
        </w:tc>
      </w:tr>
    </w:tbl>
    <w:p w14:paraId="7DF1F3B3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参数示例</w:t>
      </w:r>
    </w:p>
    <w:p w14:paraId="29F546C0">
      <w:pPr>
        <w:numPr>
          <w:ilvl w:val="0"/>
          <w:numId w:val="0"/>
        </w:numPr>
        <w:jc w:val="left"/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</w:pPr>
      <w:r>
        <w:rPr>
          <w:rFonts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{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  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92278F"/>
          <w:spacing w:val="0"/>
          <w:sz w:val="18"/>
          <w:szCs w:val="18"/>
          <w:shd w:val="clear" w:fill="FFFFFF"/>
        </w:rPr>
        <w:t>"success"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{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      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92278F"/>
          <w:spacing w:val="0"/>
          <w:sz w:val="18"/>
          <w:szCs w:val="18"/>
          <w:shd w:val="clear" w:fill="FFFFFF"/>
        </w:rPr>
        <w:t>"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92278F"/>
          <w:spacing w:val="0"/>
          <w:sz w:val="18"/>
          <w:szCs w:val="18"/>
          <w:shd w:val="clear" w:fill="FFFFFF"/>
          <w:lang w:val="en-US" w:eastAsia="zh-CN"/>
        </w:rPr>
        <w:t>pms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92278F"/>
          <w:spacing w:val="0"/>
          <w:sz w:val="18"/>
          <w:szCs w:val="18"/>
          <w:shd w:val="clear" w:fill="FFFFFF"/>
        </w:rPr>
        <w:t>"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3AB54A"/>
          <w:spacing w:val="0"/>
          <w:sz w:val="18"/>
          <w:szCs w:val="18"/>
          <w:shd w:val="clear" w:fill="FFFFFF"/>
        </w:rPr>
        <w:t>"00"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   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},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  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92278F"/>
          <w:spacing w:val="0"/>
          <w:sz w:val="18"/>
          <w:szCs w:val="18"/>
          <w:shd w:val="clear" w:fill="FFFFFF"/>
        </w:rPr>
        <w:t>"message"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[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       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{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          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92278F"/>
          <w:spacing w:val="0"/>
          <w:sz w:val="18"/>
          <w:szCs w:val="18"/>
          <w:shd w:val="clear" w:fill="FFFFFF"/>
        </w:rPr>
        <w:t>"code"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3AB54A"/>
          <w:spacing w:val="0"/>
          <w:sz w:val="18"/>
          <w:szCs w:val="18"/>
          <w:shd w:val="clear" w:fill="FFFFFF"/>
        </w:rPr>
        <w:t>"00"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,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          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92278F"/>
          <w:spacing w:val="0"/>
          <w:sz w:val="18"/>
          <w:szCs w:val="18"/>
          <w:shd w:val="clear" w:fill="FFFFFF"/>
        </w:rPr>
        <w:t>"content"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3AB54A"/>
          <w:spacing w:val="0"/>
          <w:sz w:val="18"/>
          <w:szCs w:val="18"/>
          <w:shd w:val="clear" w:fill="FFFFFF"/>
        </w:rPr>
        <w:t>"0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3AB54A"/>
          <w:spacing w:val="0"/>
          <w:sz w:val="18"/>
          <w:szCs w:val="18"/>
          <w:shd w:val="clear" w:fill="FFFFFF"/>
          <w:lang w:val="en-US" w:eastAsia="zh-CN"/>
        </w:rPr>
        <w:t>1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3AB54A"/>
          <w:spacing w:val="0"/>
          <w:sz w:val="18"/>
          <w:szCs w:val="18"/>
          <w:shd w:val="clear" w:fill="FFFFFF"/>
        </w:rPr>
        <w:t>"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       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}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48"/>
          <w:sz w:val="18"/>
          <w:szCs w:val="18"/>
          <w:shd w:val="clear" w:fill="FFFFFF"/>
        </w:rPr>
        <w:t>    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]</w:t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707D6B"/>
          <w:spacing w:val="0"/>
          <w:sz w:val="18"/>
          <w:szCs w:val="18"/>
          <w:shd w:val="clear" w:fill="FFFFFF"/>
        </w:rPr>
        <w:t>}</w:t>
      </w:r>
    </w:p>
    <w:p w14:paraId="0059DDAF">
      <w:pPr>
        <w:numPr>
          <w:ilvl w:val="0"/>
          <w:numId w:val="0"/>
        </w:numPr>
        <w:jc w:val="left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以上为一段示例json，其中{}包围的是一个json对象，对应的</w:t>
      </w:r>
      <w:r>
        <w:rPr>
          <w:rFonts w:hint="default"/>
          <w:sz w:val="24"/>
          <w:szCs w:val="24"/>
          <w:vertAlign w:val="baseline"/>
          <w:lang w:val="en-US" w:eastAsia="zh-CN"/>
        </w:rPr>
        <w:t>valueType</w:t>
      </w:r>
      <w:r>
        <w:rPr>
          <w:rFonts w:hint="eastAsia"/>
          <w:sz w:val="24"/>
          <w:szCs w:val="24"/>
          <w:vertAlign w:val="baseline"/>
          <w:lang w:val="en-US" w:eastAsia="zh-CN"/>
        </w:rPr>
        <w:t>为1，[]包围的是一个json数组，对应的</w:t>
      </w:r>
      <w:r>
        <w:rPr>
          <w:rFonts w:hint="default"/>
          <w:sz w:val="24"/>
          <w:szCs w:val="24"/>
          <w:vertAlign w:val="baseline"/>
          <w:lang w:val="en-US" w:eastAsia="zh-CN"/>
        </w:rPr>
        <w:t>valueType</w:t>
      </w:r>
      <w:r>
        <w:rPr>
          <w:rFonts w:hint="eastAsia"/>
          <w:sz w:val="24"/>
          <w:szCs w:val="24"/>
          <w:vertAlign w:val="baseline"/>
          <w:lang w:val="en-US" w:eastAsia="zh-CN"/>
        </w:rPr>
        <w:t>为2</w:t>
      </w:r>
    </w:p>
    <w:tbl>
      <w:tblPr>
        <w:tblStyle w:val="5"/>
        <w:tblW w:w="94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66"/>
        <w:gridCol w:w="966"/>
        <w:gridCol w:w="749"/>
        <w:gridCol w:w="4171"/>
        <w:gridCol w:w="1306"/>
        <w:gridCol w:w="1330"/>
      </w:tblGrid>
      <w:tr w14:paraId="1FFDD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6" w:type="dxa"/>
          </w:tcPr>
          <w:p w14:paraId="4017A365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id</w:t>
            </w:r>
          </w:p>
        </w:tc>
        <w:tc>
          <w:tcPr>
            <w:tcW w:w="966" w:type="dxa"/>
          </w:tcPr>
          <w:p w14:paraId="169DE3E7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pmType</w:t>
            </w:r>
          </w:p>
        </w:tc>
        <w:tc>
          <w:tcPr>
            <w:tcW w:w="749" w:type="dxa"/>
          </w:tcPr>
          <w:p w14:paraId="42953E42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4171" w:type="dxa"/>
          </w:tcPr>
          <w:p w14:paraId="3ADAF23E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value</w:t>
            </w:r>
          </w:p>
        </w:tc>
        <w:tc>
          <w:tcPr>
            <w:tcW w:w="1306" w:type="dxa"/>
          </w:tcPr>
          <w:p w14:paraId="7B524661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pmsDataSource</w:t>
            </w:r>
          </w:p>
        </w:tc>
        <w:tc>
          <w:tcPr>
            <w:tcW w:w="1330" w:type="dxa"/>
          </w:tcPr>
          <w:p w14:paraId="1D2FD8DB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unionPmsId</w:t>
            </w:r>
          </w:p>
        </w:tc>
      </w:tr>
      <w:tr w14:paraId="642A2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4" w:hRule="atLeast"/>
        </w:trPr>
        <w:tc>
          <w:tcPr>
            <w:tcW w:w="966" w:type="dxa"/>
          </w:tcPr>
          <w:p w14:paraId="462A368F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66" w:type="dxa"/>
          </w:tcPr>
          <w:p w14:paraId="027D2E6B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</w:tcPr>
          <w:p w14:paraId="5FD01D5A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71" w:type="dxa"/>
          </w:tcPr>
          <w:p w14:paraId="7A5010FC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{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success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:{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pms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00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},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message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:[]}</w:t>
            </w:r>
          </w:p>
        </w:tc>
        <w:tc>
          <w:tcPr>
            <w:tcW w:w="1306" w:type="dxa"/>
          </w:tcPr>
          <w:p w14:paraId="2FF897BA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0" w:type="dxa"/>
          </w:tcPr>
          <w:p w14:paraId="470F7928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7E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4" w:hRule="atLeast"/>
        </w:trPr>
        <w:tc>
          <w:tcPr>
            <w:tcW w:w="966" w:type="dxa"/>
          </w:tcPr>
          <w:p w14:paraId="7D4E8D5A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66" w:type="dxa"/>
          </w:tcPr>
          <w:p w14:paraId="3B7A888F">
            <w:pPr>
              <w:numPr>
                <w:ilvl w:val="0"/>
                <w:numId w:val="0"/>
              </w:num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3ABBE353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message</w:t>
            </w:r>
          </w:p>
        </w:tc>
        <w:tc>
          <w:tcPr>
            <w:tcW w:w="4171" w:type="dxa"/>
          </w:tcPr>
          <w:p w14:paraId="4D3ACED0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{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code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{code}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,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comtent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{content}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}</w:t>
            </w:r>
          </w:p>
        </w:tc>
        <w:tc>
          <w:tcPr>
            <w:tcW w:w="1306" w:type="dxa"/>
          </w:tcPr>
          <w:p w14:paraId="032787CC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@select 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00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as code,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01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as content</w:t>
            </w:r>
          </w:p>
        </w:tc>
        <w:tc>
          <w:tcPr>
            <w:tcW w:w="1330" w:type="dxa"/>
          </w:tcPr>
          <w:p w14:paraId="15499E67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</w:tbl>
    <w:p w14:paraId="1F7FE44B">
      <w:pPr>
        <w:numPr>
          <w:ilvl w:val="0"/>
          <w:numId w:val="0"/>
        </w:numPr>
        <w:jc w:val="left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上面是配置的示例，对象和普通值可以使用一个json对象进行组装，统一对值进行替换，如果出现数组和特殊值则需要配置数据源进行查询替换。</w:t>
      </w:r>
    </w:p>
    <w:p w14:paraId="04E62C16">
      <w:pPr>
        <w:numPr>
          <w:ilvl w:val="0"/>
          <w:numId w:val="0"/>
        </w:numPr>
        <w:jc w:val="left"/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上述的id=1的记录是第一级信息，id=2数组需要单独配置一行，使用name和unionpmsid=1与第一行关联，最终结果会替换关联数据中与name=message相同的节点的值，最后的结果为</w:t>
      </w:r>
      <w:bookmarkStart w:id="0" w:name="_GoBack"/>
      <w:bookmarkEnd w:id="0"/>
      <w:r>
        <w:rPr>
          <w:rFonts w:hint="eastAsia"/>
          <w:sz w:val="24"/>
          <w:szCs w:val="24"/>
          <w:vertAlign w:val="baseline"/>
          <w:lang w:val="en-US" w:eastAsia="zh-CN"/>
        </w:rPr>
        <w:t>{</w:t>
      </w:r>
      <w:r>
        <w:rPr>
          <w:rFonts w:hint="default"/>
          <w:sz w:val="24"/>
          <w:szCs w:val="24"/>
          <w:vertAlign w:val="baseline"/>
          <w:lang w:val="en-US" w:eastAsia="zh-CN"/>
        </w:rPr>
        <w:t>“</w:t>
      </w:r>
      <w:r>
        <w:rPr>
          <w:rFonts w:hint="eastAsia"/>
          <w:sz w:val="24"/>
          <w:szCs w:val="24"/>
          <w:vertAlign w:val="baseline"/>
          <w:lang w:val="en-US" w:eastAsia="zh-CN"/>
        </w:rPr>
        <w:t>success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:{</w:t>
      </w:r>
      <w:r>
        <w:rPr>
          <w:rFonts w:hint="default"/>
          <w:sz w:val="24"/>
          <w:szCs w:val="24"/>
          <w:vertAlign w:val="baseline"/>
          <w:lang w:val="en-US" w:eastAsia="zh-CN"/>
        </w:rPr>
        <w:t>“</w:t>
      </w:r>
      <w:r>
        <w:rPr>
          <w:rFonts w:hint="eastAsia"/>
          <w:sz w:val="24"/>
          <w:szCs w:val="24"/>
          <w:vertAlign w:val="baseline"/>
          <w:lang w:val="en-US" w:eastAsia="zh-CN"/>
        </w:rPr>
        <w:t>pms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: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00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},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message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:[{</w:t>
      </w:r>
      <w:r>
        <w:rPr>
          <w:rFonts w:hint="default"/>
          <w:sz w:val="24"/>
          <w:szCs w:val="24"/>
          <w:vertAlign w:val="baseline"/>
          <w:lang w:val="en-US" w:eastAsia="zh-CN"/>
        </w:rPr>
        <w:t>“</w:t>
      </w:r>
      <w:r>
        <w:rPr>
          <w:rFonts w:hint="eastAsia"/>
          <w:sz w:val="24"/>
          <w:szCs w:val="24"/>
          <w:vertAlign w:val="baseline"/>
          <w:lang w:val="en-US" w:eastAsia="zh-CN"/>
        </w:rPr>
        <w:t>code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: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00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,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comtent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: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01</w:t>
      </w:r>
      <w:r>
        <w:rPr>
          <w:rFonts w:hint="default"/>
          <w:sz w:val="24"/>
          <w:szCs w:val="24"/>
          <w:vertAlign w:val="baseline"/>
          <w:lang w:val="en-US" w:eastAsia="zh-CN"/>
        </w:rPr>
        <w:t>”</w:t>
      </w:r>
      <w:r>
        <w:rPr>
          <w:rFonts w:hint="eastAsia"/>
          <w:sz w:val="24"/>
          <w:szCs w:val="24"/>
          <w:vertAlign w:val="baseline"/>
          <w:lang w:val="en-US" w:eastAsia="zh-CN"/>
        </w:rPr>
        <w:t>}]}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27C367"/>
    <w:multiLevelType w:val="singleLevel"/>
    <w:tmpl w:val="1E27C36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hZDJmMTJiMTA0NDk1MmQ5MDZlYWRiMmNkYmU0NzUifQ=="/>
  </w:docVars>
  <w:rsids>
    <w:rsidRoot w:val="00172A27"/>
    <w:rsid w:val="1DB00010"/>
    <w:rsid w:val="2269505B"/>
    <w:rsid w:val="29995DFC"/>
    <w:rsid w:val="3FEC38F5"/>
    <w:rsid w:val="540C6FC7"/>
    <w:rsid w:val="63900554"/>
    <w:rsid w:val="69A4724A"/>
    <w:rsid w:val="6CBD2B20"/>
    <w:rsid w:val="721D04D0"/>
    <w:rsid w:val="743106D8"/>
    <w:rsid w:val="751F49D4"/>
    <w:rsid w:val="752308DA"/>
    <w:rsid w:val="78CD654E"/>
    <w:rsid w:val="78EB311C"/>
    <w:rsid w:val="7CD4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771</Words>
  <Characters>1516</Characters>
  <Lines>0</Lines>
  <Paragraphs>0</Paragraphs>
  <TotalTime>0</TotalTime>
  <ScaleCrop>false</ScaleCrop>
  <LinksUpToDate>false</LinksUpToDate>
  <CharactersWithSpaces>1590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2024-06-05T06:49:00Z</dcterms:created>
  <dc:creator>T8840</dc:creator>
  <cp:lastModifiedBy>丶忆</cp:lastModifiedBy>
  <dcterms:modified xsi:type="dcterms:W3CDTF">2024-12-20T03:21:00Z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CCC5AC53CA46455A902D998B48EDB24D_12</vt:lpwstr>
  </property>
</Properties>
</file>